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EF" w:rsidRPr="00091B48" w:rsidRDefault="00CF58EF" w:rsidP="0001659F">
      <w:pPr>
        <w:shd w:val="clear" w:color="auto" w:fill="FFFFFF"/>
        <w:spacing w:line="312" w:lineRule="auto"/>
        <w:ind w:left="9192" w:firstLine="720"/>
        <w:jc w:val="both"/>
        <w:rPr>
          <w:rFonts w:ascii="Verdana" w:hAnsi="Verdana"/>
          <w:color w:val="000000"/>
          <w:sz w:val="20"/>
          <w:szCs w:val="20"/>
        </w:rPr>
      </w:pPr>
      <w:r w:rsidRPr="00091B48">
        <w:rPr>
          <w:rFonts w:ascii="Verdana" w:hAnsi="Verdana"/>
          <w:color w:val="000000"/>
          <w:sz w:val="20"/>
          <w:szCs w:val="20"/>
        </w:rPr>
        <w:t xml:space="preserve">Приложение към т. 1 от Решение №        </w:t>
      </w:r>
    </w:p>
    <w:p w:rsidR="00CF58EF" w:rsidRPr="00091B48" w:rsidRDefault="00CF58EF" w:rsidP="0001659F">
      <w:pPr>
        <w:shd w:val="clear" w:color="auto" w:fill="FFFFFF"/>
        <w:spacing w:line="312" w:lineRule="auto"/>
        <w:ind w:left="9192" w:firstLine="720"/>
        <w:jc w:val="both"/>
        <w:rPr>
          <w:rFonts w:ascii="Verdana" w:hAnsi="Verdana"/>
          <w:color w:val="000000"/>
          <w:sz w:val="20"/>
          <w:szCs w:val="20"/>
        </w:rPr>
      </w:pPr>
      <w:r w:rsidRPr="00091B48">
        <w:rPr>
          <w:rFonts w:ascii="Verdana" w:hAnsi="Verdana"/>
          <w:color w:val="000000"/>
          <w:sz w:val="20"/>
          <w:szCs w:val="20"/>
        </w:rPr>
        <w:t xml:space="preserve">на </w:t>
      </w:r>
      <w:r w:rsidRPr="00091B48">
        <w:rPr>
          <w:rFonts w:ascii="HebarU" w:hAnsi="HebarU"/>
          <w:color w:val="000000"/>
          <w:sz w:val="20"/>
          <w:szCs w:val="20"/>
        </w:rPr>
        <w:t>Министерския съвет</w:t>
      </w:r>
      <w:r w:rsidRPr="00091B48">
        <w:rPr>
          <w:rFonts w:ascii="Verdana" w:hAnsi="Verdana"/>
          <w:color w:val="000000"/>
          <w:sz w:val="20"/>
          <w:szCs w:val="20"/>
        </w:rPr>
        <w:t xml:space="preserve"> от </w:t>
      </w:r>
      <w:r w:rsidRPr="00091B48">
        <w:rPr>
          <w:rFonts w:ascii="Verdana" w:hAnsi="Verdana"/>
          <w:color w:val="000000"/>
          <w:sz w:val="20"/>
          <w:szCs w:val="20"/>
          <w:lang w:val="en-US"/>
        </w:rPr>
        <w:t>2020</w:t>
      </w:r>
      <w:r w:rsidRPr="00091B48">
        <w:rPr>
          <w:rFonts w:ascii="Verdana" w:hAnsi="Verdana"/>
          <w:color w:val="000000"/>
          <w:sz w:val="20"/>
          <w:szCs w:val="20"/>
        </w:rPr>
        <w:t xml:space="preserve"> г.</w:t>
      </w:r>
    </w:p>
    <w:p w:rsidR="00CF58EF" w:rsidRPr="00091B48" w:rsidRDefault="00CF58EF" w:rsidP="0001659F">
      <w:pPr>
        <w:spacing w:line="276" w:lineRule="auto"/>
        <w:ind w:left="567"/>
        <w:jc w:val="both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CF58EF" w:rsidRPr="00D37444" w:rsidRDefault="00CF58EF" w:rsidP="0001659F">
      <w:pPr>
        <w:spacing w:line="276" w:lineRule="auto"/>
        <w:ind w:left="567"/>
        <w:jc w:val="center"/>
        <w:rPr>
          <w:rFonts w:ascii="Verdana" w:hAnsi="Verdana" w:cs="Calibri"/>
          <w:b/>
          <w:bCs/>
          <w:color w:val="000000"/>
          <w:sz w:val="36"/>
          <w:szCs w:val="36"/>
        </w:rPr>
      </w:pPr>
      <w:r w:rsidRPr="00D37444">
        <w:rPr>
          <w:rFonts w:ascii="Verdana" w:hAnsi="Verdana" w:cs="Calibri"/>
          <w:b/>
          <w:bCs/>
          <w:color w:val="000000"/>
          <w:sz w:val="36"/>
          <w:szCs w:val="36"/>
        </w:rPr>
        <w:t>ПРОГРАМА</w:t>
      </w:r>
    </w:p>
    <w:p w:rsidR="00CF58EF" w:rsidRPr="00D37444" w:rsidRDefault="00CF58EF" w:rsidP="0001659F">
      <w:pPr>
        <w:spacing w:line="276" w:lineRule="auto"/>
        <w:ind w:left="567"/>
        <w:jc w:val="center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D37444">
        <w:rPr>
          <w:rFonts w:ascii="Verdana" w:hAnsi="Verdana" w:cs="Calibri"/>
          <w:b/>
          <w:bCs/>
          <w:color w:val="000000"/>
          <w:sz w:val="24"/>
          <w:szCs w:val="24"/>
        </w:rPr>
        <w:t xml:space="preserve">за портфейлни гаранции в подкрепа на ликвидността на микро-, малки и средни предприятия </w:t>
      </w:r>
      <w:r w:rsidRPr="00D37444">
        <w:rPr>
          <w:rFonts w:ascii="Verdana" w:hAnsi="Verdana" w:cs="Calibri"/>
          <w:b/>
          <w:bCs/>
          <w:color w:val="000000"/>
          <w:sz w:val="24"/>
          <w:szCs w:val="24"/>
          <w:lang w:val="en-US"/>
        </w:rPr>
        <w:t>(</w:t>
      </w:r>
      <w:r w:rsidRPr="00D37444">
        <w:rPr>
          <w:rFonts w:ascii="Verdana" w:hAnsi="Verdana" w:cs="Calibri"/>
          <w:b/>
          <w:bCs/>
          <w:color w:val="000000"/>
          <w:sz w:val="24"/>
          <w:szCs w:val="24"/>
        </w:rPr>
        <w:t>МСП</w:t>
      </w:r>
      <w:r w:rsidRPr="00D37444">
        <w:rPr>
          <w:rFonts w:ascii="Verdana" w:hAnsi="Verdana" w:cs="Calibri"/>
          <w:b/>
          <w:bCs/>
          <w:color w:val="000000"/>
          <w:sz w:val="24"/>
          <w:szCs w:val="24"/>
          <w:lang w:val="en-US"/>
        </w:rPr>
        <w:t>)</w:t>
      </w:r>
      <w:r w:rsidRPr="00D37444">
        <w:rPr>
          <w:rFonts w:ascii="Verdana" w:hAnsi="Verdana" w:cs="Calibri"/>
          <w:b/>
          <w:bCs/>
          <w:color w:val="000000"/>
          <w:sz w:val="24"/>
          <w:szCs w:val="24"/>
        </w:rPr>
        <w:t>, пострадали от извънредната ситуация и епидемията от СOVID-19</w:t>
      </w:r>
    </w:p>
    <w:p w:rsidR="00CF58EF" w:rsidRPr="00D37444" w:rsidRDefault="00CF58EF" w:rsidP="0001659F">
      <w:pPr>
        <w:spacing w:after="120" w:line="276" w:lineRule="auto"/>
        <w:ind w:left="567" w:right="142" w:firstLine="708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CF58EF" w:rsidRPr="00D37444" w:rsidRDefault="00CF58EF" w:rsidP="00091B48">
      <w:pPr>
        <w:ind w:left="720" w:firstLine="708"/>
        <w:jc w:val="both"/>
        <w:rPr>
          <w:rFonts w:ascii="Verdana" w:hAnsi="Verdana" w:cs="Calibri"/>
          <w:sz w:val="20"/>
          <w:szCs w:val="20"/>
        </w:rPr>
      </w:pPr>
      <w:r w:rsidRPr="00D37444">
        <w:rPr>
          <w:rFonts w:ascii="Verdana" w:hAnsi="Verdana" w:cs="Calibri"/>
          <w:sz w:val="20"/>
          <w:szCs w:val="20"/>
        </w:rPr>
        <w:t xml:space="preserve">Програмата е една от поредицата мерки на българското правителство за преодоляване на сериозни затруднения в икономиката. Мярката се привежда в съответствие с изискванията на категория държавна помощ - „Помощ под формата на гаранции по заеми“, описана в </w:t>
      </w:r>
      <w:r w:rsidRPr="00091B48">
        <w:rPr>
          <w:rFonts w:ascii="Verdana" w:hAnsi="Verdana" w:cs="Calibri"/>
          <w:bCs/>
          <w:sz w:val="20"/>
          <w:szCs w:val="20"/>
        </w:rPr>
        <w:t>раздел 3.2 от</w:t>
      </w:r>
      <w:r w:rsidRPr="00D37444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D37444">
        <w:rPr>
          <w:rFonts w:ascii="Verdana" w:hAnsi="Verdana" w:cs="Calibri"/>
          <w:sz w:val="20"/>
          <w:szCs w:val="20"/>
        </w:rPr>
        <w:t>Временн</w:t>
      </w:r>
      <w:r>
        <w:rPr>
          <w:rFonts w:ascii="Verdana" w:hAnsi="Verdana" w:cs="Calibri"/>
          <w:sz w:val="20"/>
          <w:szCs w:val="20"/>
        </w:rPr>
        <w:t>ата</w:t>
      </w:r>
      <w:r w:rsidRPr="00D37444">
        <w:rPr>
          <w:rFonts w:ascii="Verdana" w:hAnsi="Verdana" w:cs="Calibri"/>
          <w:sz w:val="20"/>
          <w:szCs w:val="20"/>
        </w:rPr>
        <w:t xml:space="preserve"> рамка за мерки за държавна помощ в подкрепа на икономиката в условията на сегашния епидемичен </w:t>
      </w:r>
      <w:r>
        <w:rPr>
          <w:rFonts w:ascii="Verdana" w:hAnsi="Verdana" w:cs="Calibri"/>
          <w:sz w:val="20"/>
          <w:szCs w:val="20"/>
        </w:rPr>
        <w:br/>
      </w:r>
      <w:r w:rsidRPr="00D37444">
        <w:rPr>
          <w:rFonts w:ascii="Verdana" w:hAnsi="Verdana" w:cs="Calibri"/>
          <w:sz w:val="20"/>
          <w:szCs w:val="20"/>
        </w:rPr>
        <w:t>взрив от COVID-19</w:t>
      </w:r>
      <w:r w:rsidRPr="00D37444">
        <w:rPr>
          <w:rFonts w:ascii="Verdana" w:hAnsi="Verdana"/>
          <w:sz w:val="20"/>
          <w:szCs w:val="20"/>
        </w:rPr>
        <w:t xml:space="preserve"> </w:t>
      </w:r>
      <w:r w:rsidRPr="00091B48">
        <w:rPr>
          <w:rFonts w:ascii="Verdana" w:hAnsi="Verdana"/>
          <w:sz w:val="20"/>
          <w:szCs w:val="20"/>
        </w:rPr>
        <w:t>(</w:t>
      </w:r>
      <w:r w:rsidRPr="00091B48">
        <w:rPr>
          <w:rFonts w:ascii="Verdana" w:hAnsi="Verdana"/>
          <w:bCs/>
          <w:sz w:val="20"/>
          <w:szCs w:val="20"/>
        </w:rPr>
        <w:t>Временната рамка</w:t>
      </w:r>
      <w:r w:rsidRPr="00091B48">
        <w:rPr>
          <w:rFonts w:ascii="Verdana" w:hAnsi="Verdana"/>
          <w:sz w:val="20"/>
          <w:szCs w:val="20"/>
        </w:rPr>
        <w:t>),</w:t>
      </w:r>
      <w:r w:rsidRPr="00D37444">
        <w:rPr>
          <w:rFonts w:ascii="Verdana" w:hAnsi="Verdana"/>
          <w:sz w:val="20"/>
          <w:szCs w:val="20"/>
        </w:rPr>
        <w:t xml:space="preserve"> публик</w:t>
      </w:r>
      <w:r>
        <w:rPr>
          <w:rFonts w:ascii="Verdana" w:hAnsi="Verdana"/>
          <w:sz w:val="20"/>
          <w:szCs w:val="20"/>
        </w:rPr>
        <w:t>у</w:t>
      </w:r>
      <w:r w:rsidRPr="00D37444">
        <w:rPr>
          <w:rFonts w:ascii="Verdana" w:hAnsi="Verdana"/>
          <w:sz w:val="20"/>
          <w:szCs w:val="20"/>
        </w:rPr>
        <w:t>вана на</w:t>
      </w:r>
      <w:r>
        <w:rPr>
          <w:rFonts w:ascii="Verdana" w:hAnsi="Verdana"/>
          <w:sz w:val="20"/>
          <w:szCs w:val="20"/>
        </w:rPr>
        <w:t xml:space="preserve"> интернет адрес:</w:t>
      </w:r>
      <w:r w:rsidRPr="00D37444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D37444">
          <w:rPr>
            <w:rStyle w:val="Hyperlink"/>
            <w:rFonts w:ascii="Verdana" w:hAnsi="Verdana"/>
            <w:sz w:val="20"/>
            <w:szCs w:val="20"/>
          </w:rPr>
          <w:t>https://eur-lex.europa.eu/legal-content/EN/TXT/?uri=uriserv:OJ.CI.2020.091.01.0001.01.ENG&amp;toc=OJ:C:2020:091I:TOC</w:t>
        </w:r>
      </w:hyperlink>
      <w:r w:rsidRPr="00D3744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и </w:t>
      </w:r>
      <w:r w:rsidRPr="00D37444">
        <w:rPr>
          <w:rFonts w:ascii="Verdana" w:hAnsi="Verdana"/>
          <w:sz w:val="20"/>
          <w:szCs w:val="20"/>
        </w:rPr>
        <w:t>изменен</w:t>
      </w:r>
      <w:r>
        <w:rPr>
          <w:rFonts w:ascii="Verdana" w:hAnsi="Verdana"/>
          <w:sz w:val="20"/>
          <w:szCs w:val="20"/>
        </w:rPr>
        <w:t>ие, публикувано на адрес:</w:t>
      </w:r>
      <w:r w:rsidRPr="00D374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hyperlink r:id="rId8" w:history="1"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https</w:t>
        </w:r>
        <w:r w:rsidRPr="00D37444">
          <w:rPr>
            <w:rStyle w:val="Hyperlink"/>
            <w:rFonts w:ascii="Verdana" w:hAnsi="Verdana"/>
            <w:sz w:val="20"/>
            <w:szCs w:val="20"/>
          </w:rPr>
          <w:t>://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eur</w:t>
        </w:r>
        <w:r w:rsidRPr="00D37444">
          <w:rPr>
            <w:rStyle w:val="Hyperlink"/>
            <w:rFonts w:ascii="Verdana" w:hAnsi="Verdana"/>
            <w:sz w:val="20"/>
            <w:szCs w:val="20"/>
          </w:rPr>
          <w:t>-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lex</w:t>
        </w:r>
        <w:r w:rsidRPr="00D37444">
          <w:rPr>
            <w:rStyle w:val="Hyperlink"/>
            <w:rFonts w:ascii="Verdana" w:hAnsi="Verdana"/>
            <w:sz w:val="20"/>
            <w:szCs w:val="20"/>
          </w:rPr>
          <w:t>.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europa</w:t>
        </w:r>
        <w:r w:rsidRPr="00D37444">
          <w:rPr>
            <w:rStyle w:val="Hyperlink"/>
            <w:rFonts w:ascii="Verdana" w:hAnsi="Verdana"/>
            <w:sz w:val="20"/>
            <w:szCs w:val="20"/>
          </w:rPr>
          <w:t>.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eu</w:t>
        </w:r>
        <w:r w:rsidRPr="00D37444">
          <w:rPr>
            <w:rStyle w:val="Hyperlink"/>
            <w:rFonts w:ascii="Verdana" w:hAnsi="Verdana"/>
            <w:sz w:val="20"/>
            <w:szCs w:val="20"/>
          </w:rPr>
          <w:t>/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legal</w:t>
        </w:r>
        <w:r w:rsidRPr="00D37444">
          <w:rPr>
            <w:rStyle w:val="Hyperlink"/>
            <w:rFonts w:ascii="Verdana" w:hAnsi="Verdana"/>
            <w:sz w:val="20"/>
            <w:szCs w:val="20"/>
          </w:rPr>
          <w:t>-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content</w:t>
        </w:r>
        <w:r w:rsidRPr="00D37444">
          <w:rPr>
            <w:rStyle w:val="Hyperlink"/>
            <w:rFonts w:ascii="Verdana" w:hAnsi="Verdana"/>
            <w:sz w:val="20"/>
            <w:szCs w:val="20"/>
          </w:rPr>
          <w:t>/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BG</w:t>
        </w:r>
        <w:r w:rsidRPr="00D37444">
          <w:rPr>
            <w:rStyle w:val="Hyperlink"/>
            <w:rFonts w:ascii="Verdana" w:hAnsi="Verdana"/>
            <w:sz w:val="20"/>
            <w:szCs w:val="20"/>
          </w:rPr>
          <w:t>/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TXT</w:t>
        </w:r>
        <w:r w:rsidRPr="00D37444">
          <w:rPr>
            <w:rStyle w:val="Hyperlink"/>
            <w:rFonts w:ascii="Verdana" w:hAnsi="Verdana"/>
            <w:sz w:val="20"/>
            <w:szCs w:val="20"/>
          </w:rPr>
          <w:t>/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PDF</w:t>
        </w:r>
        <w:r w:rsidRPr="00D37444">
          <w:rPr>
            <w:rStyle w:val="Hyperlink"/>
            <w:rFonts w:ascii="Verdana" w:hAnsi="Verdana"/>
            <w:sz w:val="20"/>
            <w:szCs w:val="20"/>
          </w:rPr>
          <w:t>/?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uri</w:t>
        </w:r>
        <w:r w:rsidRPr="00D37444">
          <w:rPr>
            <w:rStyle w:val="Hyperlink"/>
            <w:rFonts w:ascii="Verdana" w:hAnsi="Verdana"/>
            <w:sz w:val="20"/>
            <w:szCs w:val="20"/>
          </w:rPr>
          <w:t>=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CELEX</w:t>
        </w:r>
        <w:r w:rsidRPr="00D37444">
          <w:rPr>
            <w:rStyle w:val="Hyperlink"/>
            <w:rFonts w:ascii="Verdana" w:hAnsi="Verdana"/>
            <w:sz w:val="20"/>
            <w:szCs w:val="20"/>
          </w:rPr>
          <w:t>:52020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XC</w:t>
        </w:r>
        <w:r w:rsidRPr="00D37444">
          <w:rPr>
            <w:rStyle w:val="Hyperlink"/>
            <w:rFonts w:ascii="Verdana" w:hAnsi="Verdana"/>
            <w:sz w:val="20"/>
            <w:szCs w:val="20"/>
          </w:rPr>
          <w:t>0404(01)&amp;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from</w:t>
        </w:r>
        <w:r w:rsidRPr="00D37444">
          <w:rPr>
            <w:rStyle w:val="Hyperlink"/>
            <w:rFonts w:ascii="Verdana" w:hAnsi="Verdana"/>
            <w:sz w:val="20"/>
            <w:szCs w:val="20"/>
          </w:rPr>
          <w:t>=</w:t>
        </w:r>
        <w:r w:rsidRPr="00D37444">
          <w:rPr>
            <w:rStyle w:val="Hyperlink"/>
            <w:rFonts w:ascii="Verdana" w:hAnsi="Verdana"/>
            <w:sz w:val="20"/>
            <w:szCs w:val="20"/>
            <w:lang w:val="en-US"/>
          </w:rPr>
          <w:t>EN</w:t>
        </w:r>
      </w:hyperlink>
      <w:r w:rsidRPr="00D37444">
        <w:rPr>
          <w:rFonts w:ascii="Verdana" w:hAnsi="Verdana"/>
          <w:sz w:val="20"/>
          <w:szCs w:val="20"/>
        </w:rPr>
        <w:t xml:space="preserve"> </w:t>
      </w:r>
      <w:r w:rsidRPr="00D37444">
        <w:rPr>
          <w:rStyle w:val="FootnoteReference"/>
          <w:rFonts w:ascii="Verdana" w:hAnsi="Verdana"/>
          <w:sz w:val="20"/>
          <w:szCs w:val="20"/>
        </w:rPr>
        <w:footnoteReference w:id="1"/>
      </w:r>
      <w:r w:rsidRPr="00D37444">
        <w:rPr>
          <w:rFonts w:ascii="Verdana" w:hAnsi="Verdana" w:cs="Calibri"/>
          <w:sz w:val="20"/>
          <w:szCs w:val="20"/>
        </w:rPr>
        <w:t xml:space="preserve">, и изискванията за помощ под формата на гаранции и заеми, отпускани чрез кредитни и други финансови институции, описани в </w:t>
      </w:r>
      <w:r w:rsidRPr="00091B48">
        <w:rPr>
          <w:rFonts w:ascii="Verdana" w:hAnsi="Verdana" w:cs="Calibri"/>
          <w:bCs/>
          <w:sz w:val="20"/>
          <w:szCs w:val="20"/>
        </w:rPr>
        <w:t>раздел</w:t>
      </w:r>
      <w:r>
        <w:rPr>
          <w:rFonts w:ascii="Verdana" w:hAnsi="Verdana" w:cs="Calibri"/>
          <w:bCs/>
          <w:sz w:val="20"/>
          <w:szCs w:val="20"/>
        </w:rPr>
        <w:t xml:space="preserve"> </w:t>
      </w:r>
      <w:r w:rsidRPr="00091B48">
        <w:rPr>
          <w:rFonts w:ascii="Verdana" w:hAnsi="Verdana" w:cs="Calibri"/>
          <w:bCs/>
          <w:sz w:val="20"/>
          <w:szCs w:val="20"/>
        </w:rPr>
        <w:t>3.4 от Временната рамка</w:t>
      </w:r>
      <w:r w:rsidRPr="00D37444">
        <w:rPr>
          <w:rFonts w:ascii="Verdana" w:hAnsi="Verdana" w:cs="Calibri"/>
          <w:sz w:val="20"/>
          <w:szCs w:val="20"/>
        </w:rPr>
        <w:t xml:space="preserve">. </w:t>
      </w:r>
    </w:p>
    <w:p w:rsidR="00CF58EF" w:rsidRPr="00D37444" w:rsidRDefault="00CF58EF" w:rsidP="0001659F">
      <w:pPr>
        <w:spacing w:after="120" w:line="276" w:lineRule="auto"/>
        <w:ind w:left="567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15298" w:type="dxa"/>
        <w:tblInd w:w="416" w:type="dxa"/>
        <w:tblCellMar>
          <w:left w:w="0" w:type="dxa"/>
          <w:right w:w="0" w:type="dxa"/>
        </w:tblCellMar>
        <w:tblLook w:val="00A0"/>
      </w:tblPr>
      <w:tblGrid>
        <w:gridCol w:w="1063"/>
        <w:gridCol w:w="3756"/>
        <w:gridCol w:w="19"/>
        <w:gridCol w:w="10460"/>
      </w:tblGrid>
      <w:tr w:rsidR="00CF58EF" w:rsidRPr="005E0B89" w:rsidTr="00B83B5F">
        <w:trPr>
          <w:trHeight w:val="417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№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5E0B89">
              <w:rPr>
                <w:rFonts w:ascii="Verdana" w:hAnsi="Verdana" w:cs="Calibri"/>
                <w:b/>
                <w:sz w:val="20"/>
                <w:szCs w:val="20"/>
              </w:rPr>
              <w:t>Параметри на Програмата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1C2F8B">
            <w:pPr>
              <w:spacing w:line="252" w:lineRule="auto"/>
              <w:ind w:left="567" w:right="278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sz w:val="20"/>
                <w:szCs w:val="20"/>
              </w:rPr>
              <w:t>Описание</w:t>
            </w:r>
          </w:p>
        </w:tc>
      </w:tr>
      <w:tr w:rsidR="00CF58EF" w:rsidRPr="005E0B89" w:rsidTr="00B83B5F">
        <w:trPr>
          <w:trHeight w:val="4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Инструмент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Портфейлни гаранции от ББР по заеми на </w:t>
            </w:r>
            <w:r w:rsidRPr="005E0B89">
              <w:rPr>
                <w:rFonts w:ascii="Verdana" w:hAnsi="Verdana" w:cs="Calibri"/>
                <w:bCs/>
                <w:sz w:val="20"/>
                <w:szCs w:val="20"/>
              </w:rPr>
              <w:t xml:space="preserve">микро-, малки и средни предприятия </w:t>
            </w:r>
            <w:r w:rsidRPr="005E0B89">
              <w:rPr>
                <w:rFonts w:ascii="Verdana" w:hAnsi="Verdana" w:cs="Calibri"/>
                <w:bCs/>
                <w:sz w:val="20"/>
                <w:szCs w:val="20"/>
                <w:lang w:val="en-US"/>
              </w:rPr>
              <w:t>(</w:t>
            </w:r>
            <w:r w:rsidRPr="005E0B89">
              <w:rPr>
                <w:rFonts w:ascii="Verdana" w:hAnsi="Verdana" w:cs="Calibri"/>
                <w:bCs/>
                <w:sz w:val="20"/>
                <w:szCs w:val="20"/>
              </w:rPr>
              <w:t>МСП</w:t>
            </w:r>
            <w:r w:rsidRPr="005E0B89">
              <w:rPr>
                <w:rFonts w:ascii="Verdana" w:hAnsi="Verdana" w:cs="Calibri"/>
                <w:bCs/>
                <w:sz w:val="20"/>
                <w:szCs w:val="20"/>
                <w:lang w:val="en-US"/>
              </w:rPr>
              <w:t>)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, предоставяни от търговски банки (финансови посредници) с цел осигуряване на ликвидност за МСП за </w:t>
            </w:r>
            <w:r w:rsidRPr="005E0B89">
              <w:rPr>
                <w:rFonts w:ascii="Verdana" w:hAnsi="Verdana" w:cs="Calibri"/>
                <w:sz w:val="20"/>
                <w:szCs w:val="20"/>
                <w:lang w:val="ru-RU"/>
              </w:rPr>
              <w:t xml:space="preserve">преодоляване на негативните икономически последици от 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разпространението на COVID-19.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Сектори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pStyle w:val="Bodytext20"/>
              <w:shd w:val="clear" w:color="auto" w:fill="auto"/>
              <w:tabs>
                <w:tab w:val="left" w:pos="706"/>
              </w:tabs>
              <w:spacing w:after="246" w:line="274" w:lineRule="exact"/>
              <w:ind w:left="567" w:right="136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Мярката е отворена за всички сектори. Прилага се за цялата територия на България. Очаква се, че от мярката ще се възползват основно секторите, които са най-силно засегнати от кризата, т.е. търговия, услуги, включително транспорт, туризъм, хотелиерство и ресторантьорство, логистика, износ и други. </w:t>
            </w:r>
          </w:p>
        </w:tc>
      </w:tr>
      <w:tr w:rsidR="00CF58EF" w:rsidRPr="005E0B89" w:rsidTr="007E4EF9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3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Максимален гаранционен процент</w:t>
            </w:r>
          </w:p>
        </w:tc>
        <w:tc>
          <w:tcPr>
            <w:tcW w:w="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Default="00CF58EF" w:rsidP="00091B48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 80%  от формираните от банките портфейли с допустими кредити</w:t>
            </w:r>
          </w:p>
          <w:p w:rsidR="00CF58EF" w:rsidRPr="005E0B89" w:rsidRDefault="00CF58EF" w:rsidP="00091B48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7E4EF9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0" w:name="_Hlk37757922"/>
            <w:r w:rsidRPr="005E0B89">
              <w:rPr>
                <w:rFonts w:ascii="Verdana" w:hAnsi="Verdana" w:cs="Calibri"/>
                <w:sz w:val="20"/>
                <w:szCs w:val="20"/>
              </w:rPr>
              <w:lastRenderedPageBreak/>
              <w:t>4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Максимален размер на кредит към едно лице и свързани лица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,</w:t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включен в портфейла по Програмата</w:t>
            </w:r>
          </w:p>
        </w:tc>
        <w:tc>
          <w:tcPr>
            <w:tcW w:w="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D37444" w:rsidRDefault="00CF58EF" w:rsidP="0001659F">
            <w:pPr>
              <w:pStyle w:val="ListParagraph"/>
              <w:spacing w:after="160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37444">
              <w:rPr>
                <w:rFonts w:ascii="Verdana" w:hAnsi="Verdana" w:cs="Calibri"/>
                <w:sz w:val="20"/>
                <w:szCs w:val="20"/>
              </w:rPr>
              <w:t xml:space="preserve">Максималният размер на 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>заема или заемите към отделния бенефициер</w:t>
            </w:r>
            <w:r w:rsidRPr="00D37444">
              <w:rPr>
                <w:rFonts w:ascii="Verdana" w:hAnsi="Verdana" w:cs="Calibri"/>
                <w:sz w:val="20"/>
                <w:szCs w:val="20"/>
              </w:rPr>
              <w:t xml:space="preserve"> ще бъде определен в съответствие с член 25, буква 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„</w:t>
            </w:r>
            <w:r w:rsidRPr="00D37444">
              <w:rPr>
                <w:rFonts w:ascii="Verdana" w:hAnsi="Verdana" w:cs="Calibri"/>
                <w:sz w:val="20"/>
                <w:szCs w:val="20"/>
              </w:rPr>
              <w:t>г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”</w:t>
            </w:r>
            <w:r w:rsidRPr="00D37444">
              <w:rPr>
                <w:rFonts w:ascii="Verdana" w:hAnsi="Verdana" w:cs="Calibri"/>
                <w:sz w:val="20"/>
                <w:szCs w:val="20"/>
              </w:rPr>
              <w:t xml:space="preserve"> от Временната рамка, а именно: </w:t>
            </w:r>
          </w:p>
          <w:p w:rsidR="00CF58EF" w:rsidRPr="00D37444" w:rsidRDefault="00CF58EF" w:rsidP="0001659F">
            <w:pPr>
              <w:pStyle w:val="NoSpacing"/>
              <w:numPr>
                <w:ilvl w:val="0"/>
                <w:numId w:val="0"/>
              </w:numPr>
              <w:ind w:left="567" w:right="136"/>
              <w:rPr>
                <w:rFonts w:ascii="Verdana" w:hAnsi="Verdana" w:cs="Calibri"/>
                <w:sz w:val="20"/>
                <w:szCs w:val="20"/>
                <w:lang w:val="hu-HU"/>
              </w:rPr>
            </w:pP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За заеми с падеж след 31 декем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>ври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 xml:space="preserve"> 2020 г. сумата на 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заема/заемите на 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отделния бенефициер не надвишава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>/т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:</w:t>
            </w:r>
          </w:p>
          <w:p w:rsidR="00CF58EF" w:rsidRPr="00D37444" w:rsidRDefault="00CF58EF" w:rsidP="0001659F">
            <w:pPr>
              <w:pStyle w:val="LegalNumPar3"/>
              <w:numPr>
                <w:ilvl w:val="0"/>
                <w:numId w:val="10"/>
              </w:numPr>
              <w:spacing w:line="240" w:lineRule="auto"/>
              <w:ind w:left="567" w:right="136"/>
              <w:rPr>
                <w:rFonts w:ascii="Verdana" w:hAnsi="Verdana" w:cs="Calibri"/>
                <w:sz w:val="20"/>
                <w:szCs w:val="20"/>
                <w:lang w:val="hu-HU"/>
              </w:rPr>
            </w:pP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два пъти годишната стойност на разходите за заплати на бенефициера (в това число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>,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 xml:space="preserve"> социалните осигуровки и разходите за персонал, работещ на място в предприятието, но заведен официално на заплата към подизпълнители) за 2019 г. или за последната налична година. За предприятия, създадени на или след 1 януари 2019 г., максималният размер на заема не трябва да надхвърля очакваната годишна стойност на заплатите за първите две години на дейност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,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 xml:space="preserve"> или</w:t>
            </w:r>
          </w:p>
          <w:p w:rsidR="00CF58EF" w:rsidRPr="00D37444" w:rsidRDefault="00CF58EF" w:rsidP="0001659F">
            <w:pPr>
              <w:pStyle w:val="LegalNumPar3"/>
              <w:numPr>
                <w:ilvl w:val="0"/>
                <w:numId w:val="10"/>
              </w:numPr>
              <w:spacing w:line="240" w:lineRule="auto"/>
              <w:ind w:left="567" w:right="136"/>
              <w:rPr>
                <w:rFonts w:ascii="Verdana" w:hAnsi="Verdana" w:cs="Calibri"/>
                <w:sz w:val="20"/>
                <w:szCs w:val="20"/>
                <w:lang w:val="hu-HU"/>
              </w:rPr>
            </w:pP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25 % от общия обо</w:t>
            </w:r>
            <w:r>
              <w:rPr>
                <w:rFonts w:ascii="Verdana" w:hAnsi="Verdana" w:cs="Calibri"/>
                <w:sz w:val="20"/>
                <w:szCs w:val="20"/>
                <w:lang w:val="hu-HU"/>
              </w:rPr>
              <w:t>рот на бенефициера през 2019 г.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,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 xml:space="preserve"> или</w:t>
            </w:r>
          </w:p>
          <w:p w:rsidR="00CF58EF" w:rsidRPr="00D37444" w:rsidRDefault="00CF58EF" w:rsidP="0001659F">
            <w:pPr>
              <w:pStyle w:val="LegalNumPar3"/>
              <w:numPr>
                <w:ilvl w:val="0"/>
                <w:numId w:val="10"/>
              </w:numPr>
              <w:spacing w:line="240" w:lineRule="auto"/>
              <w:ind w:left="567" w:right="136"/>
              <w:rPr>
                <w:rFonts w:ascii="Verdana" w:hAnsi="Verdana" w:cs="Calibri"/>
                <w:sz w:val="20"/>
                <w:szCs w:val="20"/>
                <w:lang w:val="hu-HU"/>
              </w:rPr>
            </w:pP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с подходяща обосновка и въз основа на самостоятелно сертифициране от страна на бенефициера за собствените му нужди от ликвидност</w:t>
            </w:r>
            <w:r w:rsidRPr="00D37444">
              <w:rPr>
                <w:rStyle w:val="FootnoteCharacters"/>
                <w:rFonts w:ascii="Verdana" w:hAnsi="Verdana" w:cs="Calibri"/>
                <w:sz w:val="20"/>
                <w:szCs w:val="20"/>
              </w:rPr>
              <w:t xml:space="preserve"> </w:t>
            </w:r>
            <w:r w:rsidRPr="00D37444">
              <w:rPr>
                <w:rStyle w:val="FootnoteCharacters"/>
                <w:rFonts w:ascii="Verdana" w:hAnsi="Verdana" w:cs="Calibri"/>
                <w:sz w:val="20"/>
                <w:szCs w:val="20"/>
              </w:rPr>
              <w:footnoteReference w:id="2"/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 xml:space="preserve"> </w:t>
            </w:r>
            <w:r w:rsidRPr="00D3744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размерът на заема може да бъде увеличен за покриване на нуждите от ликвидност от момента на предоставяне за следващите 18 месеца за МСП и от момента на предоставяне за следващите 12 месеца за големи предприятия</w:t>
            </w:r>
          </w:p>
          <w:p w:rsidR="00CF58EF" w:rsidRPr="00D37444" w:rsidRDefault="00CF58EF" w:rsidP="0001659F">
            <w:pPr>
              <w:pStyle w:val="NoSpacing"/>
              <w:numPr>
                <w:ilvl w:val="0"/>
                <w:numId w:val="0"/>
              </w:numPr>
              <w:ind w:left="567" w:right="136"/>
              <w:rPr>
                <w:rFonts w:ascii="Verdana" w:hAnsi="Verdana" w:cs="Calibri"/>
                <w:sz w:val="20"/>
                <w:szCs w:val="20"/>
                <w:lang w:val="hu-HU"/>
              </w:rPr>
            </w:pP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За заеми със срок до 31 декем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>вр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 xml:space="preserve">и 2020 г. размерът на главницата може да бъде по-висок от този по точка 25, буква 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„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г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”</w:t>
            </w:r>
            <w:r w:rsidRPr="00D37444">
              <w:rPr>
                <w:rFonts w:ascii="Verdana" w:hAnsi="Verdana" w:cs="Calibri"/>
                <w:sz w:val="20"/>
                <w:szCs w:val="20"/>
                <w:lang w:val="hu-HU"/>
              </w:rPr>
              <w:t>, при условие че се предостави подходяща обосновка и продължава да е гарантирана пропорционалността на помощта.</w:t>
            </w:r>
          </w:p>
          <w:p w:rsidR="00CF58EF" w:rsidRDefault="00CF58EF" w:rsidP="007D7BEF">
            <w:pPr>
              <w:pStyle w:val="ListParagraph"/>
              <w:spacing w:after="160"/>
              <w:ind w:left="567" w:right="136"/>
              <w:jc w:val="both"/>
              <w:rPr>
                <w:rFonts w:ascii="Verdana" w:hAnsi="Verdana" w:cs="Calibri"/>
                <w:b/>
                <w:bCs/>
                <w:sz w:val="20"/>
                <w:szCs w:val="20"/>
                <w:lang w:val="bg-BG"/>
              </w:rPr>
            </w:pPr>
            <w:r w:rsidRPr="00D37444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При всички случаи максималният размер на </w:t>
            </w:r>
            <w:r w:rsidRPr="00D37444">
              <w:rPr>
                <w:rFonts w:ascii="Verdana" w:hAnsi="Verdana" w:cs="Calibri"/>
                <w:b/>
                <w:bCs/>
                <w:sz w:val="20"/>
                <w:szCs w:val="20"/>
                <w:lang w:val="bg-BG"/>
              </w:rPr>
              <w:t xml:space="preserve">предоставеното финансиране </w:t>
            </w:r>
            <w:r w:rsidRPr="00D37444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не трябва да надвишава 300 </w:t>
            </w:r>
            <w:r w:rsidRPr="00D37444">
              <w:rPr>
                <w:rFonts w:ascii="Verdana" w:hAnsi="Verdana" w:cs="Calibri"/>
                <w:b/>
                <w:bCs/>
                <w:sz w:val="20"/>
                <w:szCs w:val="20"/>
                <w:lang w:val="bg-BG"/>
              </w:rPr>
              <w:t>хиляди лева</w:t>
            </w:r>
            <w:r w:rsidRPr="00D37444">
              <w:rPr>
                <w:rFonts w:ascii="Verdana" w:hAnsi="Verdana" w:cs="Calibri"/>
                <w:b/>
                <w:bCs/>
                <w:sz w:val="20"/>
                <w:szCs w:val="20"/>
              </w:rPr>
              <w:t>.</w:t>
            </w:r>
          </w:p>
          <w:p w:rsidR="00CF58EF" w:rsidRPr="00091B48" w:rsidRDefault="00CF58EF" w:rsidP="007D7BEF">
            <w:pPr>
              <w:pStyle w:val="ListParagraph"/>
              <w:spacing w:after="160"/>
              <w:ind w:left="567" w:right="136"/>
              <w:jc w:val="both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bookmarkEnd w:id="0"/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5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Механизъм на формиране на портфейлите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Включването е на портфейлна база - </w:t>
            </w:r>
            <w:r w:rsidRPr="005E0B89">
              <w:rPr>
                <w:rFonts w:ascii="Verdana" w:hAnsi="Verdana" w:cs="Calibri"/>
                <w:color w:val="000000"/>
                <w:sz w:val="20"/>
                <w:szCs w:val="20"/>
              </w:rPr>
              <w:t>не се изисква одобрение от ББР за включването им в гарантирания портфейл.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6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C44EB8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Очакван портфейл кредити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2 000 000 000 лева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7E4EF9">
        <w:trPr>
          <w:trHeight w:val="334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7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C44EB8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Очакван портфейл гаранции</w:t>
            </w:r>
          </w:p>
        </w:tc>
        <w:tc>
          <w:tcPr>
            <w:tcW w:w="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1 600 000 000 лева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7E4EF9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lastRenderedPageBreak/>
              <w:t>8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Бюджет на Програмата</w:t>
            </w:r>
          </w:p>
          <w:p w:rsidR="00CF58EF" w:rsidRDefault="00CF58EF" w:rsidP="00B83B5F">
            <w:pPr>
              <w:spacing w:line="252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и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Максимален размер на очакваните загуби по мярката</w:t>
            </w:r>
          </w:p>
        </w:tc>
        <w:tc>
          <w:tcPr>
            <w:tcW w:w="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500 000 000 лева 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CF58EF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100 % от бюджета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9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Гаранционно покритие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D37444" w:rsidRDefault="00CF58EF" w:rsidP="0001659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37444">
              <w:rPr>
                <w:rFonts w:ascii="Verdana" w:hAnsi="Verdana" w:cs="Calibri"/>
                <w:sz w:val="20"/>
                <w:szCs w:val="20"/>
              </w:rPr>
              <w:t>До 80% от главниците по кредитите</w:t>
            </w:r>
          </w:p>
          <w:p w:rsidR="00CF58EF" w:rsidRPr="00D37444" w:rsidRDefault="00CF58EF" w:rsidP="0001659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37444">
              <w:rPr>
                <w:rFonts w:ascii="Verdana" w:hAnsi="Verdana" w:cs="Calibri"/>
                <w:sz w:val="20"/>
                <w:szCs w:val="20"/>
                <w:lang w:val="fr-FR"/>
              </w:rPr>
              <w:t>P</w:t>
            </w:r>
            <w:r w:rsidRPr="00D37444">
              <w:rPr>
                <w:rFonts w:ascii="Verdana" w:hAnsi="Verdana" w:cs="Calibri"/>
                <w:sz w:val="20"/>
                <w:szCs w:val="20"/>
              </w:rPr>
              <w:t xml:space="preserve">ari passu </w:t>
            </w:r>
            <w:r w:rsidRPr="00D37444">
              <w:rPr>
                <w:rFonts w:ascii="Verdana" w:hAnsi="Verdana" w:cs="Calibri"/>
                <w:sz w:val="20"/>
                <w:szCs w:val="20"/>
                <w:lang w:val="bg-BG"/>
              </w:rPr>
              <w:t>споделяне на риска</w:t>
            </w:r>
          </w:p>
          <w:p w:rsidR="00CF58EF" w:rsidRPr="00D37444" w:rsidRDefault="00CF58EF" w:rsidP="0001659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37444">
              <w:rPr>
                <w:rFonts w:ascii="Verdana" w:hAnsi="Verdana" w:cs="Calibri"/>
                <w:sz w:val="20"/>
                <w:szCs w:val="20"/>
              </w:rPr>
              <w:t>Минимално участие на търговските банки в риска по всеки гарантиран кредит от 20%</w:t>
            </w:r>
          </w:p>
          <w:p w:rsidR="00CF58EF" w:rsidRPr="007E4EF9" w:rsidRDefault="00CF58EF" w:rsidP="0001659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37444">
              <w:rPr>
                <w:rFonts w:ascii="Verdana" w:hAnsi="Verdana" w:cs="Calibri"/>
                <w:sz w:val="20"/>
                <w:szCs w:val="20"/>
              </w:rPr>
              <w:t>С н</w:t>
            </w:r>
            <w:r>
              <w:rPr>
                <w:rFonts w:ascii="Verdana" w:hAnsi="Verdana" w:cs="Calibri"/>
                <w:sz w:val="20"/>
                <w:szCs w:val="20"/>
              </w:rPr>
              <w:t>амаляването на дълга по кредита</w:t>
            </w:r>
            <w:r w:rsidRPr="00D37444">
              <w:rPr>
                <w:rFonts w:ascii="Verdana" w:hAnsi="Verdana" w:cs="Calibri"/>
                <w:sz w:val="20"/>
                <w:szCs w:val="20"/>
              </w:rPr>
              <w:t xml:space="preserve"> се намалява и съответната гарантирана част от него.</w:t>
            </w:r>
          </w:p>
          <w:p w:rsidR="00CF58EF" w:rsidRPr="00D37444" w:rsidRDefault="00CF58EF" w:rsidP="00D46BB4">
            <w:pPr>
              <w:pStyle w:val="ListParagraph"/>
              <w:spacing w:line="252" w:lineRule="auto"/>
              <w:ind w:left="20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10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Лимит на гаранционните плащания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 30% от г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аранционния </w:t>
            </w:r>
            <w:r w:rsidRPr="005E0B89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портфейл,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E0B89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револвиращ</w:t>
            </w:r>
          </w:p>
        </w:tc>
      </w:tr>
      <w:tr w:rsidR="00CF58EF" w:rsidRPr="005E0B89" w:rsidTr="00B83B5F">
        <w:trPr>
          <w:trHeight w:val="29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11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Гарантираща институция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Българска банка за развитие (ББР)</w:t>
            </w:r>
          </w:p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6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12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Администриране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Гаранционният продукт се администрира от групата на ББР АД</w:t>
            </w: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13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Включване на кредити в гарантирания портфейл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Кандидатстване от страна на МСП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 31.12.2020 г.</w:t>
            </w:r>
          </w:p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F58EF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 23.12.2020 г.</w:t>
            </w:r>
          </w:p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14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Срок на гаранцията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 5 г.</w:t>
            </w:r>
          </w:p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15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Минимален срок на гарантираните кредити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няма</w:t>
            </w:r>
          </w:p>
        </w:tc>
      </w:tr>
      <w:tr w:rsidR="00CF58EF" w:rsidRPr="005E0B89" w:rsidTr="00B83B5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16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Максимален срок на гарантираните кредити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7E49A0">
            <w:pPr>
              <w:spacing w:line="252" w:lineRule="auto"/>
              <w:ind w:left="567" w:right="136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няма</w:t>
            </w:r>
          </w:p>
        </w:tc>
      </w:tr>
      <w:tr w:rsidR="00CF58EF" w:rsidRPr="005E0B89" w:rsidTr="007E4EF9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17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Гратисен период за плащания по главница и лихва</w:t>
            </w:r>
          </w:p>
        </w:tc>
        <w:tc>
          <w:tcPr>
            <w:tcW w:w="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7E49A0">
            <w:pPr>
              <w:ind w:left="567" w:right="136"/>
              <w:jc w:val="center"/>
              <w:rPr>
                <w:rFonts w:ascii="Verdana" w:hAnsi="Verdana" w:cs="Calibri"/>
                <w:bCs/>
                <w:sz w:val="20"/>
                <w:szCs w:val="20"/>
                <w:lang w:val="hu-HU"/>
              </w:rPr>
            </w:pPr>
            <w:r w:rsidRPr="005E0B89">
              <w:rPr>
                <w:rFonts w:ascii="Verdana" w:hAnsi="Verdana" w:cs="Calibri"/>
                <w:bCs/>
                <w:sz w:val="20"/>
                <w:szCs w:val="20"/>
              </w:rPr>
              <w:t xml:space="preserve">До </w:t>
            </w:r>
            <w:r w:rsidRPr="005E0B89">
              <w:rPr>
                <w:rFonts w:ascii="Verdana" w:hAnsi="Verdana" w:cs="Calibri"/>
                <w:bCs/>
                <w:sz w:val="20"/>
                <w:szCs w:val="20"/>
                <w:lang w:val="en-US"/>
              </w:rPr>
              <w:t>36</w:t>
            </w:r>
            <w:r w:rsidRPr="005E0B89">
              <w:rPr>
                <w:rFonts w:ascii="Verdana" w:hAnsi="Verdana" w:cs="Calibri"/>
                <w:bCs/>
                <w:sz w:val="20"/>
                <w:szCs w:val="20"/>
              </w:rPr>
              <w:t xml:space="preserve"> месеца: за </w:t>
            </w:r>
            <w:r w:rsidRPr="005E0B89">
              <w:rPr>
                <w:rFonts w:ascii="Verdana" w:hAnsi="Verdana"/>
                <w:b/>
                <w:sz w:val="20"/>
                <w:szCs w:val="20"/>
              </w:rPr>
              <w:t>Подпортфейла за нови кредити</w:t>
            </w:r>
          </w:p>
          <w:p w:rsidR="00CF58EF" w:rsidRPr="00D37444" w:rsidRDefault="00CF58EF" w:rsidP="0001659F">
            <w:pPr>
              <w:pStyle w:val="PlainText"/>
              <w:ind w:left="567" w:right="136"/>
              <w:jc w:val="both"/>
              <w:rPr>
                <w:rFonts w:ascii="Verdana" w:hAnsi="Verdana"/>
                <w:bCs/>
                <w:sz w:val="20"/>
                <w:szCs w:val="20"/>
                <w:lang w:val="hu-HU"/>
              </w:rPr>
            </w:pPr>
          </w:p>
          <w:p w:rsidR="00CF58EF" w:rsidRPr="00D37444" w:rsidRDefault="00CF58EF" w:rsidP="0001659F">
            <w:pPr>
              <w:pStyle w:val="PlainText"/>
              <w:ind w:right="13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F58EF" w:rsidRPr="005E0B89" w:rsidTr="007E4EF9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lastRenderedPageBreak/>
              <w:t>18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Допустими кредитополучатели:</w:t>
            </w:r>
          </w:p>
        </w:tc>
        <w:tc>
          <w:tcPr>
            <w:tcW w:w="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Микро-, малки и средни предприятия в съответствие със Закона за </w:t>
            </w:r>
            <w:r>
              <w:rPr>
                <w:rFonts w:ascii="Verdana" w:hAnsi="Verdana" w:cs="Calibri"/>
                <w:sz w:val="20"/>
                <w:szCs w:val="20"/>
              </w:rPr>
              <w:t>малките и средните предприятия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, регистрирани в България, които търпят неблагоприятни икономическите последици от разпространението на епидемия от 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COVID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F58EF" w:rsidRPr="005E0B89" w:rsidRDefault="00CF58EF" w:rsidP="008F63B8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Критерии за допустимост</w:t>
            </w:r>
            <w:r w:rsidRPr="005E0B8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(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наличието на един от тях е достатъчен</w:t>
            </w:r>
            <w:r w:rsidRPr="005E0B89">
              <w:rPr>
                <w:rFonts w:ascii="Verdana" w:hAnsi="Verdana" w:cs="Calibri"/>
                <w:sz w:val="20"/>
                <w:szCs w:val="20"/>
                <w:lang w:val="en-US"/>
              </w:rPr>
              <w:t>)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 xml:space="preserve">: </w:t>
            </w:r>
          </w:p>
          <w:p w:rsidR="00CF58EF" w:rsidRDefault="00CF58EF" w:rsidP="0001659F">
            <w:pPr>
              <w:numPr>
                <w:ilvl w:val="0"/>
                <w:numId w:val="3"/>
              </w:numPr>
              <w:suppressAutoHyphens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Спад на оборота след първото тримесечие на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 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2020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 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г. спрямо същия период в 2019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 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г. (въз основа на финансовите отчети на дружеството) </w:t>
            </w:r>
          </w:p>
          <w:p w:rsidR="00CF58EF" w:rsidRPr="005E0B89" w:rsidRDefault="00CF58EF" w:rsidP="00BD20B2">
            <w:pPr>
              <w:suppressAutoHyphens/>
              <w:ind w:left="20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F58EF" w:rsidRPr="005E0B89" w:rsidRDefault="00CF58EF" w:rsidP="0001659F">
            <w:pPr>
              <w:numPr>
                <w:ilvl w:val="0"/>
                <w:numId w:val="3"/>
              </w:numPr>
              <w:suppressAutoHyphens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Наличие на вземания от клиенти, които не са получени/суми, неразплатени към доставчици, след 01.03.2020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 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г. (въз основа на финансовите отчети на дружеството)</w:t>
            </w:r>
          </w:p>
          <w:p w:rsidR="00CF58EF" w:rsidRPr="005E0B89" w:rsidRDefault="00CF58EF" w:rsidP="0001659F">
            <w:pPr>
              <w:numPr>
                <w:ilvl w:val="0"/>
                <w:numId w:val="3"/>
              </w:numPr>
              <w:suppressAutoHyphens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Прекратени доставки от внос, необходими за дейността на предприятието — след 01.01.2020</w:t>
            </w:r>
            <w:r w:rsidRPr="005E0B89">
              <w:rPr>
                <w:rFonts w:ascii="Verdana" w:hAnsi="Verdana" w:cs="Calibri"/>
                <w:sz w:val="20"/>
                <w:szCs w:val="20"/>
                <w:lang w:val="en-GB"/>
              </w:rPr>
              <w:t> 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г., отменени договори за износ (въз основа на сертификати и документи, представени от дружеството)</w:t>
            </w:r>
          </w:p>
          <w:p w:rsidR="00CF58EF" w:rsidRPr="005E0B89" w:rsidRDefault="00CF58EF" w:rsidP="0001659F">
            <w:pPr>
              <w:numPr>
                <w:ilvl w:val="0"/>
                <w:numId w:val="3"/>
              </w:numPr>
              <w:suppressAutoHyphens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Случаи на болест и самоизолация на служителите, общо намаление на броя на заетите лица, затворени производствени съоръжения, помещения и офиси (въз основа на сертификати и документи, представени от дружеството)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F58EF" w:rsidRPr="005E0B89" w:rsidRDefault="00CF58EF" w:rsidP="0001659F">
            <w:pPr>
              <w:pStyle w:val="Bodytext20"/>
              <w:shd w:val="clear" w:color="auto" w:fill="auto"/>
              <w:spacing w:after="0" w:line="274" w:lineRule="exact"/>
              <w:ind w:left="567" w:right="136" w:firstLine="0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Помощта може да бъде предоставяна по мярката само на предприятия, които </w:t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не са били в затруднение по смисъла на Общия регламент за групово освобождаване (ОРГО), Регламента за групово освобождаване в</w:t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селското стопанство (ОРГО)</w:t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или Регламент за групово освобождаване в областта на рибарството („Регламент за групово освобождаване</w:t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за риболова“) на 31 декември 2019 г. 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Тя може да бъде предоставена на предприятия, които са се сблъскали с трудности или са изпаднали в затруднение </w:t>
            </w: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след това поради избухването на епидемията от COVID-19. 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7E4EF9">
        <w:trPr>
          <w:trHeight w:val="837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lastRenderedPageBreak/>
              <w:t>19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sz w:val="20"/>
                <w:szCs w:val="20"/>
              </w:rPr>
              <w:t>Гаранционни такси</w:t>
            </w:r>
          </w:p>
        </w:tc>
        <w:tc>
          <w:tcPr>
            <w:tcW w:w="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Съгласно одобрението на ЕК и </w:t>
            </w:r>
            <w:r w:rsidRPr="005E0B89">
              <w:rPr>
                <w:rFonts w:ascii="Verdana" w:hAnsi="Verdana"/>
                <w:sz w:val="20"/>
                <w:szCs w:val="20"/>
                <w:shd w:val="clear" w:color="auto" w:fill="FFFFFF"/>
              </w:rPr>
              <w:t>Временна рамка за мерки за държавна помощ в подкрепа на икономиката в условията на сегашния епидемичен взрив от COVID-19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</w:tc>
      </w:tr>
      <w:tr w:rsidR="00CF58EF" w:rsidRPr="005E0B89" w:rsidTr="00B83B5F">
        <w:trPr>
          <w:trHeight w:val="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20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Подпортфейли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Портфейл и контра</w:t>
            </w: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  <w:r w:rsidRPr="005E0B89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5E0B8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Verdana" w:hAnsi="Verdana"/>
                <w:b/>
                <w:sz w:val="20"/>
                <w:szCs w:val="20"/>
              </w:rPr>
              <w:t>Под</w:t>
            </w:r>
            <w:r w:rsidRPr="005E0B89">
              <w:rPr>
                <w:rFonts w:ascii="Verdana" w:hAnsi="Verdana"/>
                <w:b/>
                <w:sz w:val="20"/>
                <w:szCs w:val="20"/>
              </w:rPr>
              <w:t xml:space="preserve">портфейл със съществуващи кредити, </w:t>
            </w:r>
            <w:r w:rsidRPr="005E0B89">
              <w:rPr>
                <w:rFonts w:ascii="Verdana" w:hAnsi="Verdana"/>
                <w:sz w:val="20"/>
                <w:szCs w:val="20"/>
              </w:rPr>
              <w:t>спрямо които търговските банки могат да прилагат промени в схемите за плащане и да предоговарят.</w:t>
            </w:r>
          </w:p>
          <w:p w:rsidR="00CF58EF" w:rsidRPr="005E0B89" w:rsidRDefault="00CF58EF" w:rsidP="0001659F">
            <w:pPr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F58EF" w:rsidRDefault="00CF58EF" w:rsidP="0001659F">
            <w:pPr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този под</w:t>
            </w:r>
            <w:r w:rsidRPr="005E0B89">
              <w:rPr>
                <w:rFonts w:ascii="Verdana" w:hAnsi="Verdana"/>
                <w:sz w:val="20"/>
                <w:szCs w:val="20"/>
              </w:rPr>
              <w:t>портфейл могат да се включват кредити, отпуснати на МСП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 които изпитват затруднения по обслужването им след 31.12.2019 и това затруднение е пряка и непосредствена последица от епидемията с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COVID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5E0B89">
              <w:rPr>
                <w:rFonts w:ascii="Verdana" w:hAnsi="Verdana"/>
                <w:sz w:val="20"/>
                <w:szCs w:val="20"/>
                <w:lang w:val="en-US"/>
              </w:rPr>
              <w:t>19.</w:t>
            </w:r>
          </w:p>
          <w:p w:rsidR="00CF58EF" w:rsidRPr="00BD20B2" w:rsidRDefault="00CF58EF" w:rsidP="0001659F">
            <w:pPr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F58EF" w:rsidRPr="005E0B89" w:rsidRDefault="00CF58EF" w:rsidP="0001659F">
            <w:pPr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под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портфейла могат да се включват кредити на МСП, които не са били необслужвани, а кредитополучателят не е изпадал в просрочие над 90 дни за период от 12 месеца назад </w:t>
            </w:r>
            <w:r w:rsidRPr="005E0B89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5E0B89">
              <w:rPr>
                <w:rFonts w:ascii="Verdana" w:hAnsi="Verdana"/>
                <w:sz w:val="20"/>
                <w:szCs w:val="20"/>
              </w:rPr>
              <w:t>през 2019</w:t>
            </w:r>
            <w:r w:rsidRPr="005E0B8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E0B89">
              <w:rPr>
                <w:rFonts w:ascii="Verdana" w:hAnsi="Verdana"/>
                <w:sz w:val="20"/>
                <w:szCs w:val="20"/>
              </w:rPr>
              <w:t>г.</w:t>
            </w:r>
            <w:r w:rsidRPr="005E0B89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CF58EF" w:rsidRPr="005E0B89" w:rsidRDefault="00CF58EF" w:rsidP="0001659F">
            <w:pPr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  <w:r w:rsidRPr="005E0B89">
              <w:rPr>
                <w:rFonts w:ascii="Verdana" w:hAnsi="Verdana"/>
                <w:sz w:val="20"/>
                <w:szCs w:val="20"/>
              </w:rPr>
              <w:t>Кредитополучателите са представили на финансиращата търговската банка разчети и план за  възстановяване на дейността си.</w:t>
            </w:r>
          </w:p>
          <w:p w:rsidR="00CF58EF" w:rsidRPr="005E0B89" w:rsidRDefault="00CF58EF" w:rsidP="0001659F">
            <w:pPr>
              <w:spacing w:line="252" w:lineRule="auto"/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  <w:r w:rsidRPr="005E0B89">
              <w:rPr>
                <w:rFonts w:ascii="Verdana" w:hAnsi="Verdana"/>
                <w:sz w:val="20"/>
                <w:szCs w:val="20"/>
              </w:rPr>
              <w:t>Мерките за промени в схемите на плащане включват до 3 месеца гратисен период за плащане на главница и лихва и за още до 3 месеца гратисен период за плащане на главница. Гратисният</w:t>
            </w:r>
            <w:r>
              <w:rPr>
                <w:rFonts w:ascii="Verdana" w:hAnsi="Verdana"/>
                <w:sz w:val="20"/>
                <w:szCs w:val="20"/>
              </w:rPr>
              <w:t xml:space="preserve"> период за кредитите в този под</w:t>
            </w:r>
            <w:r w:rsidRPr="005E0B89">
              <w:rPr>
                <w:rFonts w:ascii="Verdana" w:hAnsi="Verdana"/>
                <w:sz w:val="20"/>
                <w:szCs w:val="20"/>
              </w:rPr>
              <w:t>портфейл следва да изтича до 31.12.2020 г. включително.</w:t>
            </w:r>
          </w:p>
          <w:p w:rsidR="00CF58EF" w:rsidRPr="005E0B89" w:rsidRDefault="00CF58EF" w:rsidP="0001659F">
            <w:pPr>
              <w:spacing w:line="252" w:lineRule="auto"/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F58EF" w:rsidRPr="005E0B89" w:rsidRDefault="00CF58EF" w:rsidP="0001659F">
            <w:pPr>
              <w:spacing w:line="252" w:lineRule="auto"/>
              <w:ind w:left="584"/>
              <w:jc w:val="both"/>
              <w:rPr>
                <w:rFonts w:ascii="Verdana" w:hAnsi="Verdana"/>
                <w:sz w:val="20"/>
                <w:szCs w:val="20"/>
              </w:rPr>
            </w:pPr>
            <w:r w:rsidRPr="00BD20B2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D20B2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Под</w:t>
            </w:r>
            <w:r w:rsidRPr="005E0B89">
              <w:rPr>
                <w:rFonts w:ascii="Verdana" w:hAnsi="Verdana"/>
                <w:b/>
                <w:sz w:val="20"/>
                <w:szCs w:val="20"/>
              </w:rPr>
              <w:t>портфейл с нови кредити за ликвидни нужди</w:t>
            </w:r>
            <w:r w:rsidRPr="005E0B89">
              <w:rPr>
                <w:rFonts w:ascii="Verdana" w:hAnsi="Verdana"/>
                <w:sz w:val="20"/>
                <w:szCs w:val="20"/>
              </w:rPr>
              <w:t xml:space="preserve"> в това число за плащане на заплати, наеми, режийни разходи и др. разходи, пряко свързани със стопанската дейност на МСП.</w:t>
            </w:r>
          </w:p>
          <w:p w:rsidR="00CF58EF" w:rsidRPr="005E0B89" w:rsidRDefault="00CF58EF" w:rsidP="0001659F">
            <w:pPr>
              <w:spacing w:line="252" w:lineRule="auto"/>
              <w:ind w:left="584" w:right="13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F58EF" w:rsidRPr="005E0B89" w:rsidRDefault="00CF58EF" w:rsidP="0001659F">
            <w:pPr>
              <w:spacing w:line="252" w:lineRule="auto"/>
              <w:ind w:left="584" w:right="136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sz w:val="20"/>
                <w:szCs w:val="20"/>
              </w:rPr>
              <w:t>Рефинансиране на кредити не е допустимо.</w:t>
            </w:r>
          </w:p>
          <w:p w:rsidR="00CF58EF" w:rsidRPr="00D37444" w:rsidRDefault="00CF58EF" w:rsidP="0001659F">
            <w:pPr>
              <w:pStyle w:val="NoSpacing"/>
              <w:numPr>
                <w:ilvl w:val="0"/>
                <w:numId w:val="0"/>
              </w:numPr>
              <w:ind w:left="584" w:right="136"/>
              <w:rPr>
                <w:rFonts w:ascii="Verdana" w:hAnsi="Verdana" w:cs="Calibri"/>
                <w:iCs/>
                <w:sz w:val="20"/>
                <w:szCs w:val="20"/>
                <w:lang w:val="bg-BG"/>
              </w:rPr>
            </w:pPr>
            <w:r w:rsidRPr="00D37444">
              <w:rPr>
                <w:rFonts w:ascii="Verdana" w:hAnsi="Verdana" w:cs="Calibri"/>
                <w:iCs/>
                <w:sz w:val="20"/>
                <w:szCs w:val="20"/>
                <w:lang w:val="bg-BG"/>
              </w:rPr>
              <w:t xml:space="preserve">При получаване на положително становище от ЕИФ и промяна в условията по Програма </w:t>
            </w:r>
            <w:r w:rsidRPr="00D37444">
              <w:rPr>
                <w:rFonts w:ascii="Verdana" w:hAnsi="Verdana" w:cs="Calibri"/>
                <w:iCs/>
                <w:caps/>
                <w:sz w:val="20"/>
                <w:szCs w:val="20"/>
                <w:lang w:val="bg-BG"/>
              </w:rPr>
              <w:t>Косме</w:t>
            </w:r>
            <w:r w:rsidRPr="00D37444">
              <w:rPr>
                <w:rFonts w:ascii="Verdana" w:hAnsi="Verdana" w:cs="Calibri"/>
                <w:iCs/>
                <w:sz w:val="20"/>
                <w:szCs w:val="20"/>
                <w:lang w:val="bg-BG"/>
              </w:rPr>
              <w:t xml:space="preserve"> и при интере</w:t>
            </w:r>
            <w:r>
              <w:rPr>
                <w:rFonts w:ascii="Verdana" w:hAnsi="Verdana" w:cs="Calibri"/>
                <w:iCs/>
                <w:sz w:val="20"/>
                <w:szCs w:val="20"/>
                <w:lang w:val="bg-BG"/>
              </w:rPr>
              <w:t xml:space="preserve">с на финансовия посредник и ББР за включване в контрагаранция КОСМЕ кредитите биха могли </w:t>
            </w:r>
            <w:r w:rsidRPr="00D37444">
              <w:rPr>
                <w:rFonts w:ascii="Verdana" w:hAnsi="Verdana" w:cs="Calibri"/>
                <w:iCs/>
                <w:sz w:val="20"/>
                <w:szCs w:val="20"/>
                <w:lang w:val="bg-BG"/>
              </w:rPr>
              <w:t>да ползват контрагаранцията на Европейския инвестиционен фонд.</w:t>
            </w:r>
          </w:p>
        </w:tc>
      </w:tr>
      <w:tr w:rsidR="00CF58EF" w:rsidRPr="005E0B89" w:rsidTr="00B83B5F">
        <w:trPr>
          <w:trHeight w:val="826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21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Обезпечение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after="240"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after="240"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Намалени изисквания за обезпечение с максимален размер на предоставяните от </w:t>
            </w:r>
            <w:r>
              <w:rPr>
                <w:rFonts w:ascii="Verdana" w:hAnsi="Verdana" w:cs="Calibri"/>
                <w:sz w:val="20"/>
                <w:szCs w:val="20"/>
              </w:rPr>
              <w:t>к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редитополучателите  обезпечения в размер до 20 % спрямо размера на финансирането, но при условията на предстоящо произнасяне на ЕК. </w:t>
            </w:r>
          </w:p>
        </w:tc>
      </w:tr>
      <w:tr w:rsidR="00CF58EF" w:rsidRPr="005E0B89" w:rsidTr="007E4EF9">
        <w:trPr>
          <w:trHeight w:val="399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22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Плащане по гаранцията</w:t>
            </w:r>
          </w:p>
        </w:tc>
        <w:tc>
          <w:tcPr>
            <w:tcW w:w="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При издаден изпълнителен лист и/или прието вземане в производство по несъстоятелност. </w:t>
            </w:r>
          </w:p>
        </w:tc>
      </w:tr>
      <w:tr w:rsidR="00CF58EF" w:rsidRPr="005E0B89" w:rsidTr="007E4EF9">
        <w:trPr>
          <w:trHeight w:val="399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lastRenderedPageBreak/>
              <w:t>23</w:t>
            </w:r>
            <w:r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Подкрепяни компании</w:t>
            </w:r>
          </w:p>
        </w:tc>
        <w:tc>
          <w:tcPr>
            <w:tcW w:w="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Малки и средни предприятия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 съгласно закона за МСП. Предприятия със средна пазарна капитализация и големи компании са изключени. 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7E49A0">
        <w:trPr>
          <w:trHeight w:val="22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Трансфер на ползите от гаранцията към крайните бенефициери</w:t>
            </w: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8EF" w:rsidRPr="00D37444" w:rsidRDefault="00CF58EF" w:rsidP="0001659F">
            <w:pPr>
              <w:pStyle w:val="PlainText"/>
              <w:ind w:left="567" w:right="136"/>
              <w:jc w:val="both"/>
              <w:rPr>
                <w:rFonts w:ascii="Verdana" w:hAnsi="Verdana"/>
                <w:sz w:val="20"/>
                <w:szCs w:val="20"/>
              </w:rPr>
            </w:pPr>
            <w:r w:rsidRPr="00D37444">
              <w:rPr>
                <w:rFonts w:ascii="Verdana" w:hAnsi="Verdana"/>
                <w:sz w:val="20"/>
                <w:szCs w:val="20"/>
              </w:rPr>
              <w:t xml:space="preserve">Търговската банка се задължава да осигури възможно най-пълно прехвърляне на финансовото предимство от гаранцията към МСП, изразяващо се в предоставяне на кредити  с намалено обезпечение  при условията на Програмата. </w:t>
            </w:r>
          </w:p>
          <w:p w:rsidR="00CF58EF" w:rsidRPr="00D37444" w:rsidRDefault="00CF58EF" w:rsidP="0001659F">
            <w:pPr>
              <w:pStyle w:val="PlainText"/>
              <w:ind w:left="567" w:right="13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F58EF" w:rsidRPr="005E0B89" w:rsidRDefault="00CF58EF" w:rsidP="0001659F">
            <w:pPr>
              <w:pStyle w:val="Bodytext20"/>
              <w:shd w:val="clear" w:color="auto" w:fill="auto"/>
              <w:tabs>
                <w:tab w:val="left" w:pos="584"/>
                <w:tab w:val="left" w:pos="726"/>
              </w:tabs>
              <w:spacing w:after="244" w:line="278" w:lineRule="exact"/>
              <w:ind w:left="584" w:right="136" w:hanging="584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        Финансовият посредник следва да съхранява и да може да представи съответната документация, доказваща        прехвърлянето на предимството на клиента, и е задължен да информира клиента за полученото предимство в съответното кредитно споразумение.</w:t>
            </w:r>
          </w:p>
          <w:p w:rsidR="00CF58EF" w:rsidRPr="005E0B89" w:rsidRDefault="00CF58EF" w:rsidP="0001659F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40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Del="002B0888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25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Търговските банки докладват ежемесечно/тримесечно до 20-то число на месеца, следващ отчетния период 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F58EF" w:rsidRPr="005E0B89" w:rsidRDefault="00CF58EF" w:rsidP="0001659F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left="581" w:right="278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  <w:bookmarkStart w:id="1" w:name="bookmark24"/>
            <w:r>
              <w:rPr>
                <w:rFonts w:ascii="Verdana" w:hAnsi="Verdana" w:cs="Calibri"/>
                <w:sz w:val="20"/>
                <w:szCs w:val="20"/>
              </w:rPr>
              <w:t>Българската банка за развитие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 следва да извършва Мониторинг и докладване съгласно раздел 4 от Временната рамка </w:t>
            </w:r>
            <w:r w:rsidRPr="00D37444">
              <w:rPr>
                <w:rStyle w:val="Bodytext2Italic"/>
                <w:rFonts w:ascii="Verdana" w:hAnsi="Verdana" w:cs="Calibri"/>
                <w:sz w:val="20"/>
                <w:szCs w:val="20"/>
              </w:rPr>
              <w:t xml:space="preserve">(напр. 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до 31 декември 2020 г. на Комисията трябва да бъде предоставен списък с мерки, въведени въз основа на схеми, одобрени съгласно временната рамка; подробна документация относно предоставянето на помощ трябва да се поддържа в продължение на 10 години след предоставянето на помощта), за което финансовите посредници следва да осигурят необходимата информация.</w:t>
            </w:r>
            <w:bookmarkEnd w:id="1"/>
            <w:r w:rsidRPr="005E0B8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  <w:tr w:rsidR="00CF58EF" w:rsidRPr="005E0B89" w:rsidTr="00B83B5F">
        <w:trPr>
          <w:trHeight w:val="40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Del="002B0888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26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Съхранение на документи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Документите по отпускането на кредити, покрити с гаранцията по тази Програма, следва да се съхраняват в срок до 10 години от датата на отпускане на последния кредит в съответния портфейл на търговската банка.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40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Del="002B0888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27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Публикуване на информация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7E4EF9">
            <w:pPr>
              <w:pStyle w:val="Bodytext20"/>
              <w:shd w:val="clear" w:color="auto" w:fill="auto"/>
              <w:tabs>
                <w:tab w:val="left" w:pos="704"/>
              </w:tabs>
              <w:spacing w:after="120" w:line="274" w:lineRule="exact"/>
              <w:ind w:left="578" w:right="278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Българската банка за развитие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 следва да публикува информация за предоставените гаранции съгласно ОРГО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на интернет адрес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:  </w:t>
            </w:r>
          </w:p>
          <w:p w:rsidR="00CF58EF" w:rsidRPr="005E0B89" w:rsidRDefault="005B6C37" w:rsidP="007E4EF9">
            <w:pPr>
              <w:pStyle w:val="Bodytext20"/>
              <w:shd w:val="clear" w:color="auto" w:fill="auto"/>
              <w:tabs>
                <w:tab w:val="left" w:pos="704"/>
              </w:tabs>
              <w:spacing w:after="120" w:line="274" w:lineRule="exact"/>
              <w:ind w:left="578" w:right="278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9" w:history="1"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https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://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eur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-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lex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.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europa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.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eu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/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legal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-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content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/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EN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/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TXT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/?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uri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=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CELEX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:02014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  <w:lang w:val="en-US"/>
                </w:rPr>
                <w:t>R</w:t>
              </w:r>
              <w:r w:rsidR="00CF58EF"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0651-20170710</w:t>
              </w:r>
            </w:hyperlink>
            <w:r w:rsidR="00CF58EF" w:rsidRPr="005E0B89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  <w:p w:rsidR="00CF58EF" w:rsidRDefault="00CF58EF" w:rsidP="0001659F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left="581" w:right="278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и да попълва Модула за прозрачност на държавните помощи на Европейската комисия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на адрес: 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(</w:t>
            </w:r>
            <w:hyperlink r:id="rId10" w:history="1">
              <w:r w:rsidRPr="005E0B89">
                <w:rPr>
                  <w:rStyle w:val="Hyperlink"/>
                  <w:rFonts w:ascii="Verdana" w:hAnsi="Verdana" w:cs="Calibri"/>
                  <w:color w:val="auto"/>
                  <w:sz w:val="20"/>
                  <w:szCs w:val="20"/>
                </w:rPr>
                <w:t>https://webgate.ec.europa.eu/competition/transparency/</w:t>
              </w:r>
            </w:hyperlink>
            <w:r w:rsidRPr="005E0B89">
              <w:rPr>
                <w:rFonts w:ascii="Verdana" w:hAnsi="Verdana" w:cs="Calibri"/>
                <w:sz w:val="20"/>
                <w:szCs w:val="20"/>
              </w:rPr>
              <w:t xml:space="preserve">) </w:t>
            </w:r>
          </w:p>
          <w:p w:rsidR="00CF58EF" w:rsidRPr="005E0B89" w:rsidRDefault="00CF58EF" w:rsidP="0001659F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left="581" w:right="278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8EF" w:rsidRPr="005E0B89" w:rsidTr="00B83B5F">
        <w:trPr>
          <w:trHeight w:val="40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Del="002B0888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lastRenderedPageBreak/>
              <w:t>28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Кумулиране на помощта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pStyle w:val="Bodytext20"/>
              <w:shd w:val="clear" w:color="auto" w:fill="auto"/>
              <w:spacing w:after="240" w:line="274" w:lineRule="exact"/>
              <w:ind w:left="581" w:right="136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  <w:bookmarkStart w:id="2" w:name="bookmark21"/>
            <w:r w:rsidRPr="005E0B89">
              <w:rPr>
                <w:rFonts w:ascii="Verdana" w:hAnsi="Verdana" w:cs="Calibri"/>
                <w:sz w:val="20"/>
                <w:szCs w:val="20"/>
              </w:rPr>
              <w:t xml:space="preserve">Съгласно одобрението на Европейската комисия и правилата на  </w:t>
            </w:r>
            <w:bookmarkEnd w:id="2"/>
            <w:r w:rsidRPr="005E0B89">
              <w:rPr>
                <w:rFonts w:ascii="Verdana" w:hAnsi="Verdana" w:cs="Calibri"/>
                <w:sz w:val="20"/>
                <w:szCs w:val="20"/>
              </w:rPr>
              <w:t>ВРЕМЕННАТА РАМКА</w:t>
            </w:r>
            <w:r w:rsidRPr="005E0B89">
              <w:rPr>
                <w:rFonts w:ascii="Verdana" w:hAnsi="Verdana" w:cs="Calibri"/>
                <w:sz w:val="20"/>
                <w:szCs w:val="20"/>
                <w:lang w:val="hu-HU"/>
              </w:rPr>
              <w:t xml:space="preserve"> „COVID-19“</w:t>
            </w:r>
          </w:p>
        </w:tc>
      </w:tr>
      <w:tr w:rsidR="00CF58EF" w:rsidRPr="005E0B89" w:rsidTr="00B83B5F">
        <w:trPr>
          <w:trHeight w:val="40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EF" w:rsidRPr="005E0B89" w:rsidRDefault="00CF58EF" w:rsidP="006F4B37">
            <w:pPr>
              <w:spacing w:line="252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F58EF" w:rsidRPr="005E0B89" w:rsidRDefault="00CF58EF" w:rsidP="003217A1">
            <w:pPr>
              <w:spacing w:line="252" w:lineRule="auto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>До участие в ползването на гаранцията се допускат всички търговски банки.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Българската банка за развитие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 следва да сключи индивидуални споразумения с всяка от банките.   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E0B89">
              <w:rPr>
                <w:rFonts w:ascii="Verdana" w:hAnsi="Verdana" w:cs="Calibri"/>
                <w:sz w:val="20"/>
                <w:szCs w:val="20"/>
              </w:rPr>
              <w:t xml:space="preserve">Рамковите условия могат да бъде допълвани, ако акт на държавен или общностен орган </w:t>
            </w:r>
            <w:r w:rsidRPr="005E0B89">
              <w:rPr>
                <w:rFonts w:ascii="Verdana" w:hAnsi="Verdana" w:cs="Calibri"/>
                <w:sz w:val="20"/>
                <w:szCs w:val="20"/>
                <w:lang w:val="en-US"/>
              </w:rPr>
              <w:t>(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ЕК</w:t>
            </w:r>
            <w:r w:rsidRPr="005E0B89">
              <w:rPr>
                <w:rFonts w:ascii="Verdana" w:hAnsi="Verdana" w:cs="Calibri"/>
                <w:sz w:val="20"/>
                <w:szCs w:val="20"/>
                <w:lang w:val="en-US"/>
              </w:rPr>
              <w:t>)</w:t>
            </w:r>
            <w:r w:rsidRPr="005E0B89">
              <w:rPr>
                <w:rFonts w:ascii="Verdana" w:hAnsi="Verdana" w:cs="Calibri"/>
                <w:sz w:val="20"/>
                <w:szCs w:val="20"/>
              </w:rPr>
              <w:t xml:space="preserve"> или приложими регул</w:t>
            </w:r>
            <w:r>
              <w:rPr>
                <w:rFonts w:ascii="Verdana" w:hAnsi="Verdana" w:cs="Calibri"/>
                <w:sz w:val="20"/>
                <w:szCs w:val="20"/>
              </w:rPr>
              <w:t>ации или споразумения за контра</w:t>
            </w:r>
            <w:r w:rsidRPr="005E0B89">
              <w:rPr>
                <w:rFonts w:ascii="Verdana" w:hAnsi="Verdana" w:cs="Calibri"/>
                <w:sz w:val="20"/>
                <w:szCs w:val="20"/>
              </w:rPr>
              <w:t>гаранция налагат това.</w:t>
            </w:r>
          </w:p>
          <w:p w:rsidR="00CF58EF" w:rsidRPr="005E0B89" w:rsidRDefault="00CF58EF" w:rsidP="0001659F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CF58EF" w:rsidRPr="00D37444" w:rsidRDefault="00CF58EF" w:rsidP="0001659F">
      <w:pPr>
        <w:spacing w:after="120" w:line="276" w:lineRule="auto"/>
        <w:ind w:left="567" w:firstLine="1077"/>
        <w:jc w:val="both"/>
        <w:rPr>
          <w:rFonts w:ascii="Verdana" w:hAnsi="Verdana" w:cs="Calibri"/>
          <w:sz w:val="20"/>
          <w:szCs w:val="20"/>
        </w:rPr>
      </w:pPr>
    </w:p>
    <w:p w:rsidR="00CF58EF" w:rsidRPr="00D37444" w:rsidRDefault="00CF58EF" w:rsidP="0001659F">
      <w:pPr>
        <w:spacing w:after="120" w:line="276" w:lineRule="auto"/>
        <w:jc w:val="both"/>
        <w:rPr>
          <w:rFonts w:ascii="Verdana" w:hAnsi="Verdana" w:cs="Calibri"/>
          <w:sz w:val="20"/>
          <w:szCs w:val="20"/>
          <w:lang w:val="en-US" w:eastAsia="en-US"/>
        </w:rPr>
      </w:pPr>
    </w:p>
    <w:sectPr w:rsidR="00CF58EF" w:rsidRPr="00D37444" w:rsidSect="00990392">
      <w:footerReference w:type="default" r:id="rId11"/>
      <w:pgSz w:w="16838" w:h="11906" w:orient="landscape"/>
      <w:pgMar w:top="1417" w:right="536" w:bottom="70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84" w:rsidRDefault="00E00C84" w:rsidP="00396C51">
      <w:r>
        <w:separator/>
      </w:r>
    </w:p>
  </w:endnote>
  <w:endnote w:type="continuationSeparator" w:id="0">
    <w:p w:rsidR="00E00C84" w:rsidRDefault="00E00C84" w:rsidP="0039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EF" w:rsidRPr="00F262F9" w:rsidRDefault="00CF58EF">
    <w:pPr>
      <w:pStyle w:val="Footer"/>
      <w:pBdr>
        <w:top w:val="single" w:sz="4" w:space="1" w:color="D9D9D9"/>
      </w:pBdr>
      <w:jc w:val="right"/>
      <w:rPr>
        <w:rFonts w:ascii="Verdana" w:hAnsi="Verdana"/>
        <w:sz w:val="20"/>
        <w:szCs w:val="20"/>
      </w:rPr>
    </w:pPr>
    <w:r w:rsidRPr="00F262F9">
      <w:rPr>
        <w:rFonts w:ascii="Verdana" w:hAnsi="Verdana"/>
        <w:sz w:val="20"/>
        <w:szCs w:val="20"/>
      </w:rPr>
      <w:fldChar w:fldCharType="begin"/>
    </w:r>
    <w:r w:rsidRPr="00F262F9">
      <w:rPr>
        <w:rFonts w:ascii="Verdana" w:hAnsi="Verdana"/>
        <w:sz w:val="20"/>
        <w:szCs w:val="20"/>
      </w:rPr>
      <w:instrText xml:space="preserve"> PAGE   \* MERGEFORMAT </w:instrText>
    </w:r>
    <w:r w:rsidRPr="00F262F9">
      <w:rPr>
        <w:rFonts w:ascii="Verdana" w:hAnsi="Verdana"/>
        <w:sz w:val="20"/>
        <w:szCs w:val="20"/>
      </w:rPr>
      <w:fldChar w:fldCharType="separate"/>
    </w:r>
    <w:r w:rsidR="002700F4">
      <w:rPr>
        <w:rFonts w:ascii="Verdana" w:hAnsi="Verdana"/>
        <w:noProof/>
        <w:sz w:val="20"/>
        <w:szCs w:val="20"/>
      </w:rPr>
      <w:t>1</w:t>
    </w:r>
    <w:r w:rsidRPr="00F262F9">
      <w:rPr>
        <w:rFonts w:ascii="Verdana" w:hAnsi="Verdana"/>
        <w:sz w:val="20"/>
        <w:szCs w:val="20"/>
      </w:rPr>
      <w:fldChar w:fldCharType="end"/>
    </w:r>
    <w:r w:rsidRPr="00F262F9">
      <w:rPr>
        <w:rFonts w:ascii="Verdana" w:hAnsi="Verdana"/>
        <w:sz w:val="20"/>
        <w:szCs w:val="20"/>
      </w:rPr>
      <w:t xml:space="preserve"> | Програма</w:t>
    </w:r>
  </w:p>
  <w:p w:rsidR="00CF58EF" w:rsidRDefault="00CF58EF" w:rsidP="001C2F8B">
    <w:pPr>
      <w:pStyle w:val="Footer"/>
      <w:tabs>
        <w:tab w:val="clear" w:pos="4536"/>
        <w:tab w:val="clear" w:pos="9072"/>
        <w:tab w:val="left" w:pos="132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84" w:rsidRDefault="00E00C84" w:rsidP="00396C51">
      <w:r>
        <w:separator/>
      </w:r>
    </w:p>
  </w:footnote>
  <w:footnote w:type="continuationSeparator" w:id="0">
    <w:p w:rsidR="00E00C84" w:rsidRDefault="00E00C84" w:rsidP="00396C51">
      <w:r>
        <w:continuationSeparator/>
      </w:r>
    </w:p>
  </w:footnote>
  <w:footnote w:id="1">
    <w:p w:rsidR="00CF58EF" w:rsidRPr="0048600C" w:rsidRDefault="00CF58EF" w:rsidP="00ED2B7D">
      <w:pPr>
        <w:rPr>
          <w:rFonts w:ascii="Verdana" w:hAnsi="Verdana"/>
          <w:sz w:val="18"/>
          <w:szCs w:val="18"/>
          <w:lang w:val="fr-FR"/>
        </w:rPr>
      </w:pPr>
      <w:r w:rsidRPr="0048600C">
        <w:rPr>
          <w:rStyle w:val="FootnoteReference"/>
          <w:rFonts w:ascii="Verdana" w:hAnsi="Verdana"/>
          <w:sz w:val="18"/>
          <w:szCs w:val="18"/>
        </w:rPr>
        <w:footnoteRef/>
      </w:r>
      <w:r w:rsidRPr="0048600C">
        <w:rPr>
          <w:rFonts w:ascii="Verdana" w:hAnsi="Verdana"/>
          <w:sz w:val="18"/>
          <w:szCs w:val="18"/>
        </w:rPr>
        <w:t xml:space="preserve"> Консолидирана версия</w:t>
      </w:r>
      <w:r>
        <w:rPr>
          <w:rFonts w:ascii="Verdana" w:hAnsi="Verdana"/>
          <w:sz w:val="18"/>
          <w:szCs w:val="18"/>
        </w:rPr>
        <w:t xml:space="preserve"> публикувана на интернет адрес</w:t>
      </w:r>
      <w:r w:rsidRPr="0048600C">
        <w:rPr>
          <w:rFonts w:ascii="Verdana" w:hAnsi="Verdana"/>
          <w:sz w:val="18"/>
          <w:szCs w:val="18"/>
          <w:lang w:val="fr-FR"/>
        </w:rPr>
        <w:t>:</w:t>
      </w:r>
      <w:r w:rsidRPr="0048600C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8600C">
          <w:rPr>
            <w:rStyle w:val="Hyperlink"/>
            <w:rFonts w:ascii="Verdana" w:hAnsi="Verdana"/>
            <w:sz w:val="18"/>
            <w:szCs w:val="18"/>
            <w:lang w:val="fr-FR" w:eastAsia="de-DE"/>
          </w:rPr>
          <w:t>https://ec.europa.eu/competition/state_aid/what_is_new/TF_consolidated_version_as_amended_3_april_2020.pdf</w:t>
        </w:r>
      </w:hyperlink>
    </w:p>
    <w:p w:rsidR="00CF58EF" w:rsidRDefault="00CF58EF" w:rsidP="00ED2B7D"/>
  </w:footnote>
  <w:footnote w:id="2">
    <w:p w:rsidR="00CF58EF" w:rsidRDefault="00CF58EF" w:rsidP="000A63F0">
      <w:pPr>
        <w:pStyle w:val="Footnote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541"/>
        </w:tabs>
      </w:pPr>
      <w:r>
        <w:rPr>
          <w:rStyle w:val="FootnoteCharacters"/>
          <w:rFonts w:ascii="Calibri" w:hAnsi="Calibri"/>
        </w:rPr>
        <w:footnoteRef/>
      </w:r>
      <w:r>
        <w:tab/>
      </w:r>
      <w:r w:rsidRPr="0048600C">
        <w:rPr>
          <w:rFonts w:ascii="Verdana" w:hAnsi="Verdana"/>
          <w:sz w:val="18"/>
          <w:szCs w:val="18"/>
        </w:rPr>
        <w:t xml:space="preserve">Планът за ликвидност може да включва както оборотния капитал, така и инвестиционните разходи. </w:t>
      </w:r>
      <w:r>
        <w:rPr>
          <w:rFonts w:ascii="Verdana" w:hAnsi="Verdana"/>
          <w:sz w:val="18"/>
          <w:szCs w:val="18"/>
        </w:rPr>
        <w:tab/>
      </w:r>
    </w:p>
  </w:footnote>
  <w:footnote w:id="3">
    <w:p w:rsidR="00CF58EF" w:rsidRDefault="00CF58EF" w:rsidP="006412E8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>
        <w:rPr>
          <w:vertAlign w:val="superscript"/>
        </w:rPr>
        <w:footnoteRef/>
      </w:r>
      <w:r>
        <w:tab/>
      </w:r>
      <w:r w:rsidRPr="000A63F0">
        <w:rPr>
          <w:rFonts w:ascii="Verdana" w:hAnsi="Verdana" w:cs="Calibri"/>
          <w:sz w:val="18"/>
          <w:szCs w:val="18"/>
        </w:rPr>
        <w:t>Както е определено в член 2, параграф 18 от Регламент (ЕС) № 651/2014 на Комисията от 17 юни 2014 г. относно деклариране на някои категории помощи за съвместими с вътрешния пазар в приложение н</w:t>
      </w:r>
      <w:r>
        <w:rPr>
          <w:rFonts w:ascii="Verdana" w:hAnsi="Verdana" w:cs="Calibri"/>
          <w:sz w:val="18"/>
          <w:szCs w:val="18"/>
        </w:rPr>
        <w:t>а членове 107 и 108 от Договора</w:t>
      </w:r>
      <w:r w:rsidRPr="000A63F0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0A63F0">
        <w:rPr>
          <w:rFonts w:ascii="Verdana" w:hAnsi="Verdana" w:cs="Calibri"/>
          <w:sz w:val="18"/>
          <w:szCs w:val="18"/>
        </w:rPr>
        <w:t>ОВ</w:t>
      </w:r>
      <w:r>
        <w:rPr>
          <w:rFonts w:ascii="Verdana" w:hAnsi="Verdana" w:cs="Calibri"/>
          <w:sz w:val="18"/>
          <w:szCs w:val="18"/>
        </w:rPr>
        <w:t>, L 187 от 26 юни</w:t>
      </w:r>
      <w:r w:rsidRPr="000A63F0">
        <w:rPr>
          <w:rFonts w:ascii="Verdana" w:hAnsi="Verdana" w:cs="Calibri"/>
          <w:sz w:val="18"/>
          <w:szCs w:val="18"/>
        </w:rPr>
        <w:t>2014 г.</w:t>
      </w:r>
      <w:r>
        <w:rPr>
          <w:rFonts w:ascii="Verdana" w:hAnsi="Verdana" w:cs="Calibri"/>
          <w:sz w:val="18"/>
          <w:szCs w:val="18"/>
        </w:rPr>
        <w:t>)</w:t>
      </w:r>
    </w:p>
  </w:footnote>
  <w:footnote w:id="4">
    <w:p w:rsidR="00CF58EF" w:rsidRDefault="00CF58EF" w:rsidP="006412E8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0A63F0">
        <w:rPr>
          <w:rFonts w:ascii="Verdana" w:hAnsi="Verdana" w:cs="Calibri"/>
          <w:sz w:val="18"/>
          <w:szCs w:val="18"/>
          <w:vertAlign w:val="superscript"/>
        </w:rPr>
        <w:footnoteRef/>
      </w:r>
      <w:r w:rsidRPr="000A63F0">
        <w:rPr>
          <w:rFonts w:ascii="Verdana" w:hAnsi="Verdana" w:cs="Calibri"/>
          <w:sz w:val="18"/>
          <w:szCs w:val="18"/>
        </w:rPr>
        <w:tab/>
      </w:r>
      <w:r w:rsidRPr="000A63F0">
        <w:rPr>
          <w:rFonts w:ascii="Verdana" w:hAnsi="Verdana" w:cs="Calibri"/>
          <w:sz w:val="18"/>
          <w:szCs w:val="18"/>
        </w:rPr>
        <w:t>Както е определено в член 2, параграф 14 от Регламент (ЕС) № 702/2014 на Комисията от 25 юни 2014 г.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</w:t>
      </w:r>
      <w:r>
        <w:rPr>
          <w:rFonts w:ascii="Verdana" w:hAnsi="Verdana" w:cs="Calibri"/>
          <w:sz w:val="18"/>
          <w:szCs w:val="18"/>
        </w:rPr>
        <w:t>а членове 107 и 108 от Договора</w:t>
      </w:r>
      <w:r w:rsidRPr="000A63F0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0A63F0">
        <w:rPr>
          <w:rFonts w:ascii="Verdana" w:hAnsi="Verdana" w:cs="Calibri"/>
          <w:sz w:val="18"/>
          <w:szCs w:val="18"/>
        </w:rPr>
        <w:t>ОВ</w:t>
      </w:r>
      <w:r>
        <w:rPr>
          <w:rFonts w:ascii="Verdana" w:hAnsi="Verdana" w:cs="Calibri"/>
          <w:sz w:val="18"/>
          <w:szCs w:val="18"/>
        </w:rPr>
        <w:t>,</w:t>
      </w:r>
      <w:r w:rsidRPr="000A63F0">
        <w:rPr>
          <w:rFonts w:ascii="Verdana" w:hAnsi="Verdana" w:cs="Calibri"/>
          <w:sz w:val="18"/>
          <w:szCs w:val="18"/>
        </w:rPr>
        <w:t xml:space="preserve"> L 193</w:t>
      </w:r>
      <w:r>
        <w:rPr>
          <w:rFonts w:ascii="Verdana" w:hAnsi="Verdana" w:cs="Calibri"/>
          <w:sz w:val="18"/>
          <w:szCs w:val="18"/>
        </w:rPr>
        <w:t xml:space="preserve"> от</w:t>
      </w:r>
      <w:r w:rsidRPr="000A63F0">
        <w:rPr>
          <w:rFonts w:ascii="Verdana" w:hAnsi="Verdana" w:cs="Calibri"/>
          <w:sz w:val="18"/>
          <w:szCs w:val="18"/>
        </w:rPr>
        <w:t xml:space="preserve"> 1</w:t>
      </w:r>
      <w:r>
        <w:rPr>
          <w:rFonts w:ascii="Verdana" w:hAnsi="Verdana" w:cs="Calibri"/>
          <w:sz w:val="18"/>
          <w:szCs w:val="18"/>
        </w:rPr>
        <w:t xml:space="preserve"> юли </w:t>
      </w:r>
      <w:r w:rsidRPr="000A63F0">
        <w:rPr>
          <w:rFonts w:ascii="Verdana" w:hAnsi="Verdana" w:cs="Calibri"/>
          <w:sz w:val="18"/>
          <w:szCs w:val="18"/>
        </w:rPr>
        <w:t>2014 г.</w:t>
      </w:r>
      <w:r>
        <w:rPr>
          <w:rFonts w:ascii="Verdana" w:hAnsi="Verdana" w:cs="Calibri"/>
          <w:sz w:val="18"/>
          <w:szCs w:val="18"/>
        </w:rPr>
        <w:t>)</w:t>
      </w:r>
    </w:p>
  </w:footnote>
  <w:footnote w:id="5">
    <w:p w:rsidR="00CF58EF" w:rsidRDefault="00CF58EF" w:rsidP="006412E8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0A63F0">
        <w:rPr>
          <w:rFonts w:ascii="Verdana" w:hAnsi="Verdana" w:cs="Calibri"/>
          <w:sz w:val="18"/>
          <w:szCs w:val="18"/>
          <w:vertAlign w:val="superscript"/>
        </w:rPr>
        <w:footnoteRef/>
      </w:r>
      <w:r w:rsidRPr="000A63F0">
        <w:rPr>
          <w:rFonts w:ascii="Verdana" w:hAnsi="Verdana" w:cs="Calibri"/>
          <w:sz w:val="18"/>
          <w:szCs w:val="18"/>
        </w:rPr>
        <w:tab/>
      </w:r>
      <w:r w:rsidRPr="000A63F0">
        <w:rPr>
          <w:rFonts w:ascii="Verdana" w:hAnsi="Verdana" w:cs="Calibri"/>
          <w:sz w:val="18"/>
          <w:szCs w:val="18"/>
        </w:rPr>
        <w:t xml:space="preserve">Както е определено в член 3, параграф 5 от Регламент (ЕС) № 1388/2014 на Комисията от 16 декември 2014 г. относно деклариране на някои категории помощи за предприятия, занимаващи се с производство, преработка и предлагане на пазара на продукти от риболов и аквакултури, които са съвместими с вътрешния пазар в приложение на членове 107 и 108 от Договора </w:t>
      </w:r>
      <w:r>
        <w:rPr>
          <w:rFonts w:ascii="Verdana" w:hAnsi="Verdana" w:cs="Calibri"/>
          <w:sz w:val="18"/>
          <w:szCs w:val="18"/>
        </w:rPr>
        <w:t>(</w:t>
      </w:r>
      <w:r w:rsidRPr="000A63F0">
        <w:rPr>
          <w:rFonts w:ascii="Verdana" w:hAnsi="Verdana" w:cs="Calibri"/>
          <w:sz w:val="18"/>
          <w:szCs w:val="18"/>
        </w:rPr>
        <w:t>ОВ</w:t>
      </w:r>
      <w:r>
        <w:rPr>
          <w:rFonts w:ascii="Verdana" w:hAnsi="Verdana" w:cs="Calibri"/>
          <w:sz w:val="18"/>
          <w:szCs w:val="18"/>
        </w:rPr>
        <w:t>,</w:t>
      </w:r>
      <w:r w:rsidRPr="000A63F0">
        <w:rPr>
          <w:rFonts w:ascii="Verdana" w:hAnsi="Verdana" w:cs="Calibri"/>
          <w:sz w:val="18"/>
          <w:szCs w:val="18"/>
        </w:rPr>
        <w:t xml:space="preserve"> L 369 от 24 декември 2014 г.</w:t>
      </w:r>
      <w:r>
        <w:rPr>
          <w:rFonts w:ascii="Verdana" w:hAnsi="Verdana" w:cs="Calibri"/>
          <w:sz w:val="18"/>
          <w:szCs w:val="18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8"/>
    <w:multiLevelType w:val="multilevel"/>
    <w:tmpl w:val="25A20C5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76" w:hanging="47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3" w:hanging="47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29" w:hanging="476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24"/>
    <w:lvl w:ilvl="0">
      <w:start w:val="1"/>
      <w:numFmt w:val="decimal"/>
      <w:pStyle w:val="NoSpac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11FF05EB"/>
    <w:multiLevelType w:val="hybridMultilevel"/>
    <w:tmpl w:val="FBF8DF7E"/>
    <w:lvl w:ilvl="0" w:tplc="5E0EBD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55D3"/>
    <w:multiLevelType w:val="multilevel"/>
    <w:tmpl w:val="7A989B0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9B4B5E"/>
    <w:multiLevelType w:val="hybridMultilevel"/>
    <w:tmpl w:val="E47CAF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401647C"/>
    <w:multiLevelType w:val="multilevel"/>
    <w:tmpl w:val="73ECC424"/>
    <w:lvl w:ilvl="0">
      <w:start w:val="1"/>
      <w:numFmt w:val="decimal"/>
      <w:pStyle w:val="LegalNumPar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71EE0C67"/>
    <w:multiLevelType w:val="multilevel"/>
    <w:tmpl w:val="078A72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523"/>
    <w:rsid w:val="0000241C"/>
    <w:rsid w:val="0001659F"/>
    <w:rsid w:val="00017713"/>
    <w:rsid w:val="00037DBC"/>
    <w:rsid w:val="00044613"/>
    <w:rsid w:val="000447E9"/>
    <w:rsid w:val="00050A58"/>
    <w:rsid w:val="00084F7E"/>
    <w:rsid w:val="00091B48"/>
    <w:rsid w:val="00093CB2"/>
    <w:rsid w:val="000940EA"/>
    <w:rsid w:val="00095C89"/>
    <w:rsid w:val="000A63F0"/>
    <w:rsid w:val="000D14E6"/>
    <w:rsid w:val="000D3433"/>
    <w:rsid w:val="000D72BC"/>
    <w:rsid w:val="000F0FC4"/>
    <w:rsid w:val="001036A1"/>
    <w:rsid w:val="0011097F"/>
    <w:rsid w:val="00132446"/>
    <w:rsid w:val="00157BB4"/>
    <w:rsid w:val="00166CFD"/>
    <w:rsid w:val="001800BF"/>
    <w:rsid w:val="00191AF8"/>
    <w:rsid w:val="001A07DB"/>
    <w:rsid w:val="001A4EA8"/>
    <w:rsid w:val="001C08C9"/>
    <w:rsid w:val="001C2F8B"/>
    <w:rsid w:val="001C6EC5"/>
    <w:rsid w:val="001C7A6E"/>
    <w:rsid w:val="001D0323"/>
    <w:rsid w:val="001E0C63"/>
    <w:rsid w:val="001E7F56"/>
    <w:rsid w:val="001F6221"/>
    <w:rsid w:val="00200F78"/>
    <w:rsid w:val="00227CFC"/>
    <w:rsid w:val="00232C19"/>
    <w:rsid w:val="00256743"/>
    <w:rsid w:val="002700F4"/>
    <w:rsid w:val="00270337"/>
    <w:rsid w:val="00271625"/>
    <w:rsid w:val="00273D59"/>
    <w:rsid w:val="00287910"/>
    <w:rsid w:val="002B0888"/>
    <w:rsid w:val="002D4E7F"/>
    <w:rsid w:val="002E5F83"/>
    <w:rsid w:val="002F7B54"/>
    <w:rsid w:val="00315355"/>
    <w:rsid w:val="00315ADB"/>
    <w:rsid w:val="003217A1"/>
    <w:rsid w:val="00334CF8"/>
    <w:rsid w:val="003511F9"/>
    <w:rsid w:val="0035238E"/>
    <w:rsid w:val="00394847"/>
    <w:rsid w:val="00396762"/>
    <w:rsid w:val="00396C51"/>
    <w:rsid w:val="003B0B87"/>
    <w:rsid w:val="003B4592"/>
    <w:rsid w:val="003C4E51"/>
    <w:rsid w:val="003E5B1A"/>
    <w:rsid w:val="003F4334"/>
    <w:rsid w:val="00400B01"/>
    <w:rsid w:val="0040117B"/>
    <w:rsid w:val="004237A4"/>
    <w:rsid w:val="00424594"/>
    <w:rsid w:val="00442062"/>
    <w:rsid w:val="00466A70"/>
    <w:rsid w:val="0047710A"/>
    <w:rsid w:val="0048600C"/>
    <w:rsid w:val="004B395F"/>
    <w:rsid w:val="004E1C5C"/>
    <w:rsid w:val="004E6E72"/>
    <w:rsid w:val="00503C74"/>
    <w:rsid w:val="00522DEE"/>
    <w:rsid w:val="00526042"/>
    <w:rsid w:val="00532A9A"/>
    <w:rsid w:val="00556984"/>
    <w:rsid w:val="005651B8"/>
    <w:rsid w:val="005967EF"/>
    <w:rsid w:val="005A579A"/>
    <w:rsid w:val="005B12B6"/>
    <w:rsid w:val="005B6C37"/>
    <w:rsid w:val="005C2816"/>
    <w:rsid w:val="005D0A5F"/>
    <w:rsid w:val="005D47F4"/>
    <w:rsid w:val="005E0B89"/>
    <w:rsid w:val="0060526B"/>
    <w:rsid w:val="006412E8"/>
    <w:rsid w:val="00650869"/>
    <w:rsid w:val="006714B3"/>
    <w:rsid w:val="0067683B"/>
    <w:rsid w:val="006813F4"/>
    <w:rsid w:val="00683034"/>
    <w:rsid w:val="00685756"/>
    <w:rsid w:val="00695592"/>
    <w:rsid w:val="006A071F"/>
    <w:rsid w:val="006B498A"/>
    <w:rsid w:val="006B5E79"/>
    <w:rsid w:val="006C133F"/>
    <w:rsid w:val="006F0E39"/>
    <w:rsid w:val="006F4B37"/>
    <w:rsid w:val="007025C2"/>
    <w:rsid w:val="00707BBD"/>
    <w:rsid w:val="00764468"/>
    <w:rsid w:val="00765BC2"/>
    <w:rsid w:val="0076690C"/>
    <w:rsid w:val="00776D6B"/>
    <w:rsid w:val="00777EE3"/>
    <w:rsid w:val="00784E8B"/>
    <w:rsid w:val="0079011F"/>
    <w:rsid w:val="007A621B"/>
    <w:rsid w:val="007B14BA"/>
    <w:rsid w:val="007D7BEF"/>
    <w:rsid w:val="007E485C"/>
    <w:rsid w:val="007E49A0"/>
    <w:rsid w:val="007E4EF9"/>
    <w:rsid w:val="00803931"/>
    <w:rsid w:val="008333D4"/>
    <w:rsid w:val="00856A65"/>
    <w:rsid w:val="008705EC"/>
    <w:rsid w:val="00886DFB"/>
    <w:rsid w:val="00897A1E"/>
    <w:rsid w:val="008A00ED"/>
    <w:rsid w:val="008B0171"/>
    <w:rsid w:val="008D0565"/>
    <w:rsid w:val="008D26AF"/>
    <w:rsid w:val="008D6E26"/>
    <w:rsid w:val="008E6EB7"/>
    <w:rsid w:val="008F63B8"/>
    <w:rsid w:val="0093032B"/>
    <w:rsid w:val="00930A2C"/>
    <w:rsid w:val="009400C6"/>
    <w:rsid w:val="009425B9"/>
    <w:rsid w:val="0095049F"/>
    <w:rsid w:val="0096129D"/>
    <w:rsid w:val="00964556"/>
    <w:rsid w:val="009659FC"/>
    <w:rsid w:val="009671DF"/>
    <w:rsid w:val="009754E3"/>
    <w:rsid w:val="00990392"/>
    <w:rsid w:val="00994A71"/>
    <w:rsid w:val="009A715A"/>
    <w:rsid w:val="009B1169"/>
    <w:rsid w:val="009D1C9F"/>
    <w:rsid w:val="009D33E7"/>
    <w:rsid w:val="009D49D8"/>
    <w:rsid w:val="009E6C7B"/>
    <w:rsid w:val="009E750F"/>
    <w:rsid w:val="00A02E11"/>
    <w:rsid w:val="00A138F1"/>
    <w:rsid w:val="00A3105C"/>
    <w:rsid w:val="00A33A59"/>
    <w:rsid w:val="00A46BE4"/>
    <w:rsid w:val="00A647CE"/>
    <w:rsid w:val="00A66FA8"/>
    <w:rsid w:val="00A8734E"/>
    <w:rsid w:val="00A91B99"/>
    <w:rsid w:val="00AA2456"/>
    <w:rsid w:val="00AB6FD4"/>
    <w:rsid w:val="00AC6A57"/>
    <w:rsid w:val="00AF4429"/>
    <w:rsid w:val="00AF5450"/>
    <w:rsid w:val="00B253AF"/>
    <w:rsid w:val="00B2614E"/>
    <w:rsid w:val="00B41C76"/>
    <w:rsid w:val="00B446EB"/>
    <w:rsid w:val="00B45ADB"/>
    <w:rsid w:val="00B46523"/>
    <w:rsid w:val="00B5214B"/>
    <w:rsid w:val="00B81630"/>
    <w:rsid w:val="00B83B5F"/>
    <w:rsid w:val="00B90816"/>
    <w:rsid w:val="00BA0928"/>
    <w:rsid w:val="00BA72A3"/>
    <w:rsid w:val="00BB2113"/>
    <w:rsid w:val="00BD130C"/>
    <w:rsid w:val="00BD20B2"/>
    <w:rsid w:val="00BD5977"/>
    <w:rsid w:val="00C030F5"/>
    <w:rsid w:val="00C21D12"/>
    <w:rsid w:val="00C35E51"/>
    <w:rsid w:val="00C4165B"/>
    <w:rsid w:val="00C44EB8"/>
    <w:rsid w:val="00C558AF"/>
    <w:rsid w:val="00C63538"/>
    <w:rsid w:val="00C649ED"/>
    <w:rsid w:val="00C67D91"/>
    <w:rsid w:val="00C91007"/>
    <w:rsid w:val="00CA0802"/>
    <w:rsid w:val="00CB42FB"/>
    <w:rsid w:val="00CC490A"/>
    <w:rsid w:val="00CF58EF"/>
    <w:rsid w:val="00D14DE7"/>
    <w:rsid w:val="00D1521B"/>
    <w:rsid w:val="00D37444"/>
    <w:rsid w:val="00D46BB4"/>
    <w:rsid w:val="00D60B11"/>
    <w:rsid w:val="00D705E7"/>
    <w:rsid w:val="00D7651C"/>
    <w:rsid w:val="00D76DA6"/>
    <w:rsid w:val="00DB073D"/>
    <w:rsid w:val="00DC0C54"/>
    <w:rsid w:val="00DD605E"/>
    <w:rsid w:val="00DE58D7"/>
    <w:rsid w:val="00DE5EB4"/>
    <w:rsid w:val="00DF7BBB"/>
    <w:rsid w:val="00E00C84"/>
    <w:rsid w:val="00E00E96"/>
    <w:rsid w:val="00E0742D"/>
    <w:rsid w:val="00E13EC3"/>
    <w:rsid w:val="00E22EC7"/>
    <w:rsid w:val="00E36DBC"/>
    <w:rsid w:val="00E676E3"/>
    <w:rsid w:val="00E94631"/>
    <w:rsid w:val="00EA194C"/>
    <w:rsid w:val="00EA22D2"/>
    <w:rsid w:val="00EA2B13"/>
    <w:rsid w:val="00EA6F26"/>
    <w:rsid w:val="00EB4126"/>
    <w:rsid w:val="00ED2B7D"/>
    <w:rsid w:val="00ED7F24"/>
    <w:rsid w:val="00EE46E4"/>
    <w:rsid w:val="00EF3242"/>
    <w:rsid w:val="00F11112"/>
    <w:rsid w:val="00F262F9"/>
    <w:rsid w:val="00F45A25"/>
    <w:rsid w:val="00F4601F"/>
    <w:rsid w:val="00F50520"/>
    <w:rsid w:val="00F82A01"/>
    <w:rsid w:val="00F91DA1"/>
    <w:rsid w:val="00F94543"/>
    <w:rsid w:val="00F94CA9"/>
    <w:rsid w:val="00F94F3D"/>
    <w:rsid w:val="00FA0B0A"/>
    <w:rsid w:val="00FA169F"/>
    <w:rsid w:val="00FA1A2D"/>
    <w:rsid w:val="00FA2B98"/>
    <w:rsid w:val="00FB7B8C"/>
    <w:rsid w:val="00FC4B30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23"/>
    <w:rPr>
      <w:rFonts w:ascii="Calibri" w:hAnsi="Calibri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036A1"/>
    <w:rPr>
      <w:rFonts w:ascii="Segoe UI" w:hAnsi="Segoe UI" w:cs="Segoe UI"/>
      <w:sz w:val="18"/>
      <w:szCs w:val="18"/>
      <w:lang w:eastAsia="bg-BG"/>
    </w:rPr>
  </w:style>
  <w:style w:type="character" w:customStyle="1" w:styleId="FootnoteCharacters">
    <w:name w:val="Footnote Characters"/>
    <w:uiPriority w:val="99"/>
    <w:rsid w:val="00396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6C51"/>
    <w:pPr>
      <w:suppressAutoHyphens/>
    </w:pPr>
    <w:rPr>
      <w:rFonts w:ascii="Times New Roman" w:eastAsia="Times New Roman" w:hAnsi="Times New Roman"/>
      <w:sz w:val="20"/>
      <w:szCs w:val="20"/>
      <w:lang w:val="hu-HU" w:eastAsia="zh-CN"/>
    </w:rPr>
  </w:style>
  <w:style w:type="character" w:customStyle="1" w:styleId="FootnoteTextChar">
    <w:name w:val="Footnote Text Char"/>
    <w:link w:val="FootnoteText"/>
    <w:uiPriority w:val="99"/>
    <w:locked/>
    <w:rsid w:val="00396C51"/>
    <w:rPr>
      <w:rFonts w:ascii="Times New Roman" w:hAnsi="Times New Roman" w:cs="Times New Roman"/>
      <w:sz w:val="20"/>
      <w:szCs w:val="20"/>
      <w:lang w:val="hu-HU" w:eastAsia="zh-CN"/>
    </w:rPr>
  </w:style>
  <w:style w:type="paragraph" w:customStyle="1" w:styleId="LegalNumPar3">
    <w:name w:val="LegalNumPar3"/>
    <w:basedOn w:val="Normal"/>
    <w:uiPriority w:val="99"/>
    <w:rsid w:val="00396C51"/>
    <w:pPr>
      <w:numPr>
        <w:numId w:val="5"/>
      </w:numPr>
      <w:suppressAutoHyphens/>
      <w:spacing w:after="200" w:line="360" w:lineRule="auto"/>
      <w:jc w:val="both"/>
    </w:pPr>
    <w:rPr>
      <w:sz w:val="24"/>
      <w:lang w:val="en-GB" w:eastAsia="zh-CN"/>
    </w:rPr>
  </w:style>
  <w:style w:type="paragraph" w:styleId="NoSpacing">
    <w:name w:val="No Spacing"/>
    <w:basedOn w:val="Normal"/>
    <w:uiPriority w:val="99"/>
    <w:qFormat/>
    <w:rsid w:val="00396C51"/>
    <w:pPr>
      <w:numPr>
        <w:numId w:val="4"/>
      </w:numPr>
      <w:suppressAutoHyphens/>
      <w:spacing w:after="200"/>
      <w:ind w:left="720" w:firstLine="0"/>
      <w:jc w:val="both"/>
    </w:pPr>
    <w:rPr>
      <w:rFonts w:ascii="Times New Roman" w:hAnsi="Times New Roman"/>
      <w:sz w:val="24"/>
      <w:lang w:val="en-IE" w:eastAsia="zh-CN"/>
    </w:rPr>
  </w:style>
  <w:style w:type="paragraph" w:customStyle="1" w:styleId="LegalNumPar">
    <w:name w:val="LegalNumPar"/>
    <w:basedOn w:val="Normal"/>
    <w:uiPriority w:val="99"/>
    <w:rsid w:val="002B0888"/>
    <w:pPr>
      <w:tabs>
        <w:tab w:val="num" w:pos="720"/>
      </w:tabs>
      <w:suppressAutoHyphens/>
      <w:spacing w:after="200" w:line="360" w:lineRule="auto"/>
      <w:ind w:left="720" w:hanging="720"/>
      <w:jc w:val="both"/>
    </w:pPr>
    <w:rPr>
      <w:sz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rsid w:val="002B0888"/>
    <w:pPr>
      <w:suppressAutoHyphens/>
    </w:pPr>
    <w:rPr>
      <w:rFonts w:cs="Calibri"/>
      <w:lang w:eastAsia="zh-CN"/>
    </w:rPr>
  </w:style>
  <w:style w:type="character" w:customStyle="1" w:styleId="PlainTextChar">
    <w:name w:val="Plain Text Char"/>
    <w:link w:val="PlainText"/>
    <w:uiPriority w:val="99"/>
    <w:locked/>
    <w:rsid w:val="002B0888"/>
    <w:rPr>
      <w:rFonts w:ascii="Calibri" w:hAnsi="Calibri" w:cs="Calibri"/>
      <w:lang w:eastAsia="zh-CN"/>
    </w:rPr>
  </w:style>
  <w:style w:type="character" w:styleId="CommentReference">
    <w:name w:val="annotation reference"/>
    <w:uiPriority w:val="99"/>
    <w:semiHidden/>
    <w:rsid w:val="00A310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0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3105C"/>
    <w:rPr>
      <w:rFonts w:ascii="Calibri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3105C"/>
    <w:rPr>
      <w:rFonts w:ascii="Calibri" w:hAnsi="Calibri" w:cs="Times New Roman"/>
      <w:b/>
      <w:bCs/>
      <w:sz w:val="20"/>
      <w:szCs w:val="20"/>
      <w:lang w:eastAsia="bg-BG"/>
    </w:rPr>
  </w:style>
  <w:style w:type="paragraph" w:customStyle="1" w:styleId="Default">
    <w:name w:val="Default"/>
    <w:uiPriority w:val="99"/>
    <w:rsid w:val="00EA22D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Bodytext2">
    <w:name w:val="Body text|2_"/>
    <w:link w:val="Bodytext20"/>
    <w:uiPriority w:val="99"/>
    <w:locked/>
    <w:rsid w:val="00C21D12"/>
    <w:rPr>
      <w:rFonts w:cs="Times New Roman"/>
      <w:shd w:val="clear" w:color="auto" w:fill="FFFFFF"/>
    </w:rPr>
  </w:style>
  <w:style w:type="paragraph" w:customStyle="1" w:styleId="Bodytext20">
    <w:name w:val="Body text|2"/>
    <w:basedOn w:val="Normal"/>
    <w:link w:val="Bodytext2"/>
    <w:uiPriority w:val="99"/>
    <w:rsid w:val="00C21D12"/>
    <w:pPr>
      <w:widowControl w:val="0"/>
      <w:shd w:val="clear" w:color="auto" w:fill="FFFFFF"/>
      <w:spacing w:after="1080" w:line="266" w:lineRule="exact"/>
      <w:ind w:hanging="740"/>
    </w:pPr>
    <w:rPr>
      <w:rFonts w:ascii="Helvetica" w:hAnsi="Helvetica"/>
      <w:lang w:eastAsia="en-US"/>
    </w:rPr>
  </w:style>
  <w:style w:type="character" w:customStyle="1" w:styleId="Bodytext2Italic">
    <w:name w:val="Body text|2 + Italic"/>
    <w:uiPriority w:val="99"/>
    <w:semiHidden/>
    <w:rsid w:val="003E5B1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eastAsia="en-US"/>
    </w:rPr>
  </w:style>
  <w:style w:type="paragraph" w:styleId="ListParagraph">
    <w:name w:val="List Paragraph"/>
    <w:basedOn w:val="Normal"/>
    <w:uiPriority w:val="99"/>
    <w:qFormat/>
    <w:rsid w:val="003E5B1A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val="hu-HU" w:eastAsia="zh-CN"/>
    </w:rPr>
  </w:style>
  <w:style w:type="character" w:customStyle="1" w:styleId="Footnote1">
    <w:name w:val="Footnote|1_"/>
    <w:link w:val="Footnote10"/>
    <w:uiPriority w:val="99"/>
    <w:locked/>
    <w:rsid w:val="00E676E3"/>
    <w:rPr>
      <w:rFonts w:cs="Times New Roman"/>
      <w:sz w:val="20"/>
      <w:szCs w:val="20"/>
      <w:shd w:val="clear" w:color="auto" w:fill="FFFFFF"/>
    </w:rPr>
  </w:style>
  <w:style w:type="paragraph" w:customStyle="1" w:styleId="Footnote10">
    <w:name w:val="Footnote|1"/>
    <w:basedOn w:val="Normal"/>
    <w:link w:val="Footnote1"/>
    <w:uiPriority w:val="99"/>
    <w:rsid w:val="00E676E3"/>
    <w:pPr>
      <w:widowControl w:val="0"/>
      <w:shd w:val="clear" w:color="auto" w:fill="FFFFFF"/>
      <w:spacing w:line="222" w:lineRule="exact"/>
      <w:ind w:hanging="380"/>
    </w:pPr>
    <w:rPr>
      <w:rFonts w:ascii="Helvetica" w:hAnsi="Helvetica"/>
      <w:sz w:val="20"/>
      <w:szCs w:val="20"/>
      <w:lang w:eastAsia="en-US"/>
    </w:rPr>
  </w:style>
  <w:style w:type="character" w:customStyle="1" w:styleId="Bodytext210pt">
    <w:name w:val="Body text|2 + 10 pt"/>
    <w:aliases w:val="Bold"/>
    <w:uiPriority w:val="99"/>
    <w:semiHidden/>
    <w:rsid w:val="00FB7B8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en-US"/>
    </w:rPr>
  </w:style>
  <w:style w:type="character" w:customStyle="1" w:styleId="Bodytext210pt1">
    <w:name w:val="Body text|2 + 10 pt1"/>
    <w:uiPriority w:val="99"/>
    <w:semiHidden/>
    <w:rsid w:val="00FB7B8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en-US"/>
    </w:rPr>
  </w:style>
  <w:style w:type="character" w:customStyle="1" w:styleId="Heading21">
    <w:name w:val="Heading #2|1_"/>
    <w:link w:val="Heading210"/>
    <w:uiPriority w:val="99"/>
    <w:locked/>
    <w:rsid w:val="00084F7E"/>
    <w:rPr>
      <w:rFonts w:cs="Times New Roman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uiPriority w:val="99"/>
    <w:rsid w:val="00084F7E"/>
    <w:pPr>
      <w:widowControl w:val="0"/>
      <w:shd w:val="clear" w:color="auto" w:fill="FFFFFF"/>
      <w:spacing w:before="700" w:line="266" w:lineRule="exact"/>
      <w:ind w:hanging="740"/>
      <w:jc w:val="both"/>
      <w:outlineLvl w:val="1"/>
    </w:pPr>
    <w:rPr>
      <w:rFonts w:ascii="Helvetica" w:hAnsi="Helvetica"/>
      <w:b/>
      <w:bCs/>
      <w:lang w:eastAsia="en-US"/>
    </w:rPr>
  </w:style>
  <w:style w:type="character" w:styleId="Hyperlink">
    <w:name w:val="Hyperlink"/>
    <w:uiPriority w:val="99"/>
    <w:rsid w:val="00DE58D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B498A"/>
    <w:rPr>
      <w:rFonts w:ascii="Calibri" w:hAnsi="Calibri"/>
      <w:sz w:val="22"/>
      <w:szCs w:val="22"/>
      <w:lang w:val="bg-BG" w:eastAsia="bg-BG"/>
    </w:rPr>
  </w:style>
  <w:style w:type="character" w:customStyle="1" w:styleId="UnresolvedMention1">
    <w:name w:val="Unresolved Mention1"/>
    <w:uiPriority w:val="99"/>
    <w:semiHidden/>
    <w:rsid w:val="0065086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ED2B7D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rsid w:val="00ED2B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651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651B8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5651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651B8"/>
    <w:rPr>
      <w:rFonts w:ascii="Calibri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PDF/?uri=CELEX:52020XC0404(01)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uriserv:OJ.CI.2020.091.01.0001.01.ENG&amp;toc=OJ:C:2020:091I:T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ebgate.ec.europa.eu/competition/transparen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02014R0651-2017071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petition/state_aid/what_is_new/TF_consolidated_version_as_amended_3_april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10809</CharactersWithSpaces>
  <SharedDoc>false</SharedDoc>
  <HLinks>
    <vt:vector size="30" baseType="variant"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https://webgate.ec.europa.eu/competition/transparency/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https://eur-lex.europa.eu/legal-content/EN/TXT/?uri=CELEX:02014R0651-20170710</vt:lpwstr>
      </vt:variant>
      <vt:variant>
        <vt:lpwstr/>
      </vt:variant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https://eur-lex.europa.eu/legal-content/BG/TXT/PDF/?uri=CELEX:52020XC0404(01)&amp;from=EN</vt:lpwstr>
      </vt:variant>
      <vt:variant>
        <vt:lpwstr/>
      </vt:variant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https://eur-lex.europa.eu/legal-content/EN/TXT/?uri=uriserv:OJ.CI.2020.091.01.0001.01.ENG&amp;toc=OJ:C:2020:091I:TOC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https://ec.europa.eu/competition/state_aid/what_is_new/TF_consolidated_version_as_amended_3_april_2020.pdf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Mateva</dc:creator>
  <cp:lastModifiedBy>Nusha Ivanova</cp:lastModifiedBy>
  <cp:revision>2</cp:revision>
  <cp:lastPrinted>2020-05-05T11:26:00Z</cp:lastPrinted>
  <dcterms:created xsi:type="dcterms:W3CDTF">2020-11-18T08:35:00Z</dcterms:created>
  <dcterms:modified xsi:type="dcterms:W3CDTF">2020-11-18T08:35:00Z</dcterms:modified>
</cp:coreProperties>
</file>